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66_1" w:id="100001"/>
      <w:bookmarkStart w:name="_Toc129769402_1" w:id="100002"/>
      <w:bookmarkStart w:name="_Toc133914832_1" w:id="100003"/>
      <w:bookmarkStart w:name="_Toc134495626_1" w:id="100004"/>
      <w:bookmarkStart w:name="_Toc147896380_1" w:id="100005"/>
      <w:r>
        <w:t>GREETINGLINE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"GREETINGLINE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GREETINGLINE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Inserts a mail merge greeting line.</w:t>
      </w:r>
    </w:p>
    <w:p w:rsidRDefault="00476CD1" w:rsidP="00476CD1" w:rsidR="00476CD1">
      <w:r>
        <w:t>Field Value</w:t>
      </w:r>
      <w:r>
        <w:t>: The greeting line.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808"/>
        <w:gridCol w:w="6293"/>
      </w:tblGrid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text to include in the merge field if the name field in the data source is blank.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of the name included in the field.</w:t>
            </w:r>
          </w:p>
        </w:tc>
      </w:tr>
      <w:tr w:rsidTr="002E5918" w:rsidR="00476CD1">
        <w:tc>
          <w:tcPr>
            <w:tcW w:type="dxa" w:w="280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6293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language ID used to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the name. it defaults to the language ID of the first character of the document.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