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778_1" w:id="100001"/>
      <w:bookmarkStart w:name="book6ad33589-d555-4bff-9b81-46e16a42294d_1" w:id="100002"/>
      <w:r>
        <w:t>h</w:t>
      </w:r>
      <w:r>
        <w:t xml:space="preserve"> (Shape Handle)</w:t>
      </w:r>
      <w:bookmarkEnd w:id="100001"/>
    </w:p>
    <w:bookmarkEnd w:id="100002"/>
    <w:p w:rsidRDefault="007C1B30" w:rsidP="007C1B30" w:rsidR="007C1B30">
      <w:r>
        <w:t xml:space="preserve">This element defines a single handle, which is a user interface element tied to one or two </w:t>
      </w:r>
      <w:r>
        <w:t xml:space="preserve">adj </w:t>
      </w:r>
      <w:r>
        <w:t xml:space="preserve">values.  Moving the handle changes its linked </w:t>
      </w:r>
      <w:r>
        <w:t xml:space="preserve">adj </w:t>
      </w:r>
      <w:r>
        <w:t xml:space="preserve">values, which in turn changes </w:t>
      </w:r>
      <w:hyperlink r:id="rId8">
        <w:r>
          <w:rPr>
            <w:rStyle w:val="Hyperlink"/>
          </w:rPr>
          <w:t>formulas</w:t>
        </w:r>
      </w:hyperlink>
      <w:r>
        <w:t xml:space="preserve"> and attributes that depend on them.  The handle is optionally constrained vertically or horizontally.  The linked </w:t>
      </w:r>
      <w:r>
        <w:t xml:space="preserve">adj </w:t>
      </w:r>
      <w:r>
        <w:t>values store the position of the handle in the shape's coordinate space.</w:t>
      </w:r>
    </w:p>
    <w:p w:rsidRDefault="007C1B30" w:rsidP="007C1B30" w:rsidR="007C1B30">
      <w:r>
        <w:t>[</w:t>
      </w:r>
      <w:r>
        <w:t>Example:</w:t>
      </w:r>
      <w:r>
        <w:t xml:space="preserve"> The example below defines a simple kite shape with a resizable width:</w:t>
      </w:r>
    </w:p>
    <w:p w:rsidRDefault="007C1B30" w:rsidP="007C1B30" w:rsidR="007C1B30">
      <w:pPr>
        <w:pStyle w:val="c"/>
      </w:pPr>
      <w:r>
        <w:t>&lt;v:shape coordsize="200,200" coordorigin="-100,-100" adj="100" style="width:50;height:50;position:relative"</w:t>
      </w:r>
    </w:p>
    <w:p w:rsidRDefault="007C1B30" w:rsidP="007C1B30" w:rsidR="007C1B30">
      <w:pPr>
        <w:pStyle w:val="c"/>
      </w:pPr>
      <w:r>
        <w:t xml:space="preserve"> </w:t>
      </w:r>
      <w:hyperlink r:id="rId9">
        <w:r>
          <w:rPr>
            <w:rStyle w:val="Hyperlink"/>
          </w:rPr>
          <w:t>path</w:t>
        </w:r>
      </w:hyperlink>
      <w:r>
        <w:t>="m @1,-</w:t>
      </w:r>
      <w:smartTag w:element="metricconverter" w:uri="urn:schemas-microsoft-com:office:smarttags">
        <w:smartTagPr>
          <w:attr w:val="50 l" w:name="ProductID"/>
        </w:smartTagPr>
        <w:r>
          <w:t>50 l</w:t>
        </w:r>
      </w:smartTag>
      <w:r>
        <w:t xml:space="preserve"> 0,-200 @0,-50 0,200 x e"&gt;</w:t>
      </w:r>
    </w:p>
    <w:p w:rsidRDefault="007C1B30" w:rsidP="007C1B30" w:rsidR="007C1B30">
      <w:pPr>
        <w:pStyle w:val="c"/>
      </w:pPr>
      <w:r>
        <w:t xml:space="preserve"> &lt;v:</w:t>
      </w:r>
      <w:hyperlink r:id="rId8">
        <w:r>
          <w:rPr>
            <w:rStyle w:val="Hyperlink"/>
          </w:rPr>
          <w:t>formulas</w:t>
        </w:r>
      </w:hyperlink>
      <w:r>
        <w:t>&gt;</w:t>
      </w:r>
    </w:p>
    <w:p w:rsidRDefault="007C1B30" w:rsidP="007C1B30" w:rsidR="007C1B30">
      <w:pPr>
        <w:pStyle w:val="c"/>
      </w:pPr>
      <w:r>
        <w:t xml:space="preserve">  &lt;v:</w:t>
      </w:r>
      <w:hyperlink r:id="rId10">
        <w:r>
          <w:rPr>
            <w:rStyle w:val="Hyperlink"/>
          </w:rPr>
          <w:t>f</w:t>
        </w:r>
      </w:hyperlink>
      <w:r>
        <w:t xml:space="preserve"> eqn="val #0"/&gt;</w:t>
      </w:r>
    </w:p>
    <w:p w:rsidRDefault="007C1B30" w:rsidP="007C1B30" w:rsidR="007C1B30">
      <w:pPr>
        <w:pStyle w:val="c"/>
      </w:pPr>
      <w:r>
        <w:t xml:space="preserve">  &lt;v:</w:t>
      </w:r>
      <w:hyperlink r:id="rId10">
        <w:r>
          <w:rPr>
            <w:rStyle w:val="Hyperlink"/>
          </w:rPr>
          <w:t>f</w:t>
        </w:r>
      </w:hyperlink>
      <w:r>
        <w:t xml:space="preserve"> eqn="sum 0 0 @0"/&gt;</w:t>
      </w:r>
    </w:p>
    <w:p w:rsidRDefault="007C1B30" w:rsidP="007C1B30" w:rsidR="007C1B30">
      <w:pPr>
        <w:pStyle w:val="c"/>
      </w:pPr>
      <w:r>
        <w:t xml:space="preserve"> &lt;/v:</w:t>
      </w:r>
      <w:hyperlink r:id="rId8">
        <w:r>
          <w:rPr>
            <w:rStyle w:val="Hyperlink"/>
          </w:rPr>
          <w:t>formulas</w:t>
        </w:r>
      </w:hyperlink>
      <w:r>
        <w:t>&gt;</w:t>
      </w:r>
    </w:p>
    <w:p w:rsidRDefault="007C1B30" w:rsidP="007C1B30" w:rsidR="007C1B30">
      <w:pPr>
        <w:pStyle w:val="c"/>
      </w:pPr>
      <w:r>
        <w:t xml:space="preserve"> &lt;v:</w:t>
      </w:r>
      <w:hyperlink r:id="rId11">
        <w:r>
          <w:rPr>
            <w:rStyle w:val="Hyperlink"/>
          </w:rPr>
          <w:t>handles</w:t>
        </w:r>
      </w:hyperlink>
      <w:r>
        <w:t>&gt;</w:t>
      </w:r>
    </w:p>
    <w:p w:rsidRDefault="007C1B30" w:rsidP="007C1B30" w:rsidR="007C1B30">
      <w:pPr>
        <w:pStyle w:val="c"/>
      </w:pPr>
      <w:r>
        <w:t xml:space="preserve">  &lt;v:h position="#0,0"/&gt;</w:t>
      </w:r>
    </w:p>
    <w:p w:rsidRDefault="007C1B30" w:rsidP="007C1B30" w:rsidR="007C1B30">
      <w:pPr>
        <w:pStyle w:val="c"/>
      </w:pPr>
      <w:r>
        <w:t xml:space="preserve"> &lt;/v:</w:t>
      </w:r>
      <w:hyperlink r:id="rId11">
        <w:r>
          <w:rPr>
            <w:rStyle w:val="Hyperlink"/>
          </w:rPr>
          <w:t>handles</w:t>
        </w:r>
      </w:hyperlink>
      <w:r>
        <w:t>&gt;</w:t>
      </w:r>
    </w:p>
    <w:p w:rsidRDefault="007C1B30" w:rsidP="007C1B30" w:rsidR="007C1B30">
      <w:pPr>
        <w:pStyle w:val="c"/>
      </w:pPr>
      <w:r>
        <w:t>&lt;/v:</w:t>
      </w:r>
      <w:hyperlink r:id="rId12">
        <w:r>
          <w:rPr>
            <w:rStyle w:val="Hyperlink"/>
          </w:rPr>
          <w:t>shape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11">
              <w:r>
                <w:rPr>
                  <w:rStyle w:val="Hyperlink"/>
                </w:rPr>
                <w:t>handles</w:t>
              </w:r>
            </w:hyperlink>
            <w:r>
              <w:t/>
            </w:r>
            <w:r>
              <w:t xml:space="preserve"> (§</w:t>
            </w:r>
            <w:fldSimple w:instr="REF book04da9f17-9a72-43f3-8c74-93d8d00c9bec \r \h">
              <w:r>
                <w:t>6.1.2.9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invx</w:t>
            </w:r>
            <w:r>
              <w:t xml:space="preserve"> (Invert Handle's X Position)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whether the x position of the handle should be inverted according to:</w:t>
            </w:r>
          </w:p>
          <w:p w:rsidRDefault="007C1B30" w:rsidP="002E5918" w:rsidR="007C1B30">
            <m:oMath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new</m:t>
                  </m:r>
                </m:sub>
              </m:sSub>
              <m:r>
                <m:rPr>
                  <m:sty m:val="p"/>
                </m:rPr>
                <w:rPr>
                  <w:rFonts w:hAnsi="Cambria Math" w:ascii="Cambria Math"/>
                </w:rPr>
                <m:t>=</m:t>
              </m:r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coordorigin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hAnsi="Cambria Math" w:ascii="Cambria Math"/>
                </w:rPr>
                <m:t>+</m:t>
              </m:r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coordsize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hAnsi="Cambria Math" w:ascii="Cambria Math"/>
                </w:rPr>
                <m:t>-</m:t>
              </m:r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old</m:t>
                  </m:r>
                </m:sub>
              </m:sSub>
            </m:oMath>
            <w:r>
              <w:t xml:space="preserve"> </w:t>
            </w:r>
          </w:p>
          <w:p w:rsidRDefault="007C1B30" w:rsidP="002E5918" w:rsidR="007C1B30"/>
          <w:p w:rsidRDefault="007C1B30" w:rsidP="002E5918" w:rsidR="007C1B30">
            <w:r>
              <w:t/>
            </w:r>
            <w:hyperlink r:id="rId13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11">
              <w:r>
                <w:rPr>
                  <w:rStyle w:val="Hyperlink"/>
                </w:rPr>
                <w:t>handles</w:t>
              </w:r>
            </w:hyperlink>
            <w:r>
              <w:t>&gt;</w:t>
            </w:r>
          </w:p>
          <w:p w:rsidRDefault="007C1B30" w:rsidP="002E5918" w:rsidR="007C1B30">
            <w:pPr>
              <w:pStyle w:val="c"/>
            </w:pPr>
            <w:r>
              <w:t xml:space="preserve">  &lt;v:h ... invx="true" ... /&gt;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1">
              <w:r>
                <w:rPr>
                  <w:rStyle w:val="Hyperlink"/>
                </w:rPr>
                <w:t>handles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09ce28d6-48d7-4f6f-9978-bcb430cc9b29 \r \h">
              <w:r>
                <w:t>6.1.3.14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invy</w:t>
            </w:r>
            <w:r>
              <w:t xml:space="preserve"> (Invert Handle's Y Position)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whether the y position of the handle should be inverted according to:</w:t>
            </w:r>
          </w:p>
          <w:p w:rsidRDefault="007C1B30" w:rsidP="002E5918" w:rsidR="007C1B30">
            <m:oMath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new</m:t>
                  </m:r>
                </m:sub>
              </m:sSub>
              <m:r>
                <m:rPr>
                  <m:sty m:val="p"/>
                </m:rPr>
                <w:rPr>
                  <w:rFonts w:hAnsi="Cambria Math" w:ascii="Cambria Math"/>
                </w:rPr>
                <m:t>=</m:t>
              </m:r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coordorigin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hAnsi="Cambria Math" w:ascii="Cambria Math"/>
                </w:rPr>
                <m:t>+</m:t>
              </m:r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coordsize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hAnsi="Cambria Math" w:ascii="Cambria Math"/>
                </w:rPr>
                <m:t>-</m:t>
              </m:r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old</m:t>
                  </m:r>
                </m:sub>
              </m:sSub>
            </m:oMath>
            <w:r>
              <w:t xml:space="preserve"> </w:t>
            </w:r>
          </w:p>
          <w:p w:rsidRDefault="007C1B30" w:rsidP="002E5918" w:rsidR="007C1B30"/>
          <w:p w:rsidRDefault="007C1B30" w:rsidP="002E5918" w:rsidR="007C1B30">
            <w:r>
              <w:t/>
            </w:r>
            <w:hyperlink r:id="rId13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11">
              <w:r>
                <w:rPr>
                  <w:rStyle w:val="Hyperlink"/>
                </w:rPr>
                <w:t>handles</w:t>
              </w:r>
            </w:hyperlink>
            <w:r>
              <w:t>&gt;</w:t>
            </w:r>
          </w:p>
          <w:p w:rsidRDefault="007C1B30" w:rsidP="002E5918" w:rsidR="007C1B30">
            <w:pPr>
              <w:pStyle w:val="c"/>
            </w:pPr>
            <w:r>
              <w:t xml:space="preserve">  &lt;v:h ... invy="true" ... /&gt;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1">
              <w:r>
                <w:rPr>
                  <w:rStyle w:val="Hyperlink"/>
                </w:rPr>
                <w:t>handles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09ce28d6-48d7-4f6f-9978-bcb430cc9b29 \r \h">
              <w:r>
                <w:t>6.1.3.14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map</w:t>
            </w:r>
            <w:r>
              <w:t xml:space="preserve"> (Handle Coordinate Mapping)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how the x and y positions of the handle are mapped from the </w:t>
            </w:r>
            <w:r>
              <w:t>coordsize</w:t>
            </w:r>
            <w:r>
              <w:t xml:space="preserve"> range into the specified range.  </w:t>
            </w:r>
            <w:hyperlink r:id="rId13">
              <w:r>
                <w:rPr>
                  <w:rStyle w:val="Hyperlink"/>
                </w:rPr>
                <w:t>Default</w:t>
              </w:r>
            </w:hyperlink>
            <w:r>
              <w:t xml:space="preserve"> is "0,1000".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11">
              <w:r>
                <w:rPr>
                  <w:rStyle w:val="Hyperlink"/>
                </w:rPr>
                <w:t>handles</w:t>
              </w:r>
            </w:hyperlink>
            <w:r>
              <w:t>&gt;</w:t>
            </w:r>
          </w:p>
          <w:p w:rsidRDefault="007C1B30" w:rsidP="002E5918" w:rsidR="007C1B30">
            <w:pPr>
              <w:pStyle w:val="c"/>
            </w:pPr>
            <w:r>
              <w:t xml:space="preserve">  &lt;v:h ... map="-1000,1000" ... /&gt;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1">
              <w:r>
                <w:rPr>
                  <w:rStyle w:val="Hyperlink"/>
                </w:rPr>
                <w:t>handles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polar</w:t>
            </w:r>
            <w:r>
              <w:t xml:space="preserve"> (Handle Polar Center)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center position of a handle that uses polar coordinates.  If specified, the </w:t>
            </w:r>
            <w:r>
              <w:t>position</w:t>
            </w:r>
            <w:r>
              <w:t xml:space="preserve"> attribute is assumed to contain radius and angle values.  If omitted, the </w:t>
            </w:r>
            <w:r>
              <w:t>position</w:t>
            </w:r>
            <w:r>
              <w:t xml:space="preserve"> attribute is assumed to contain x and y positions.  </w:t>
            </w:r>
            <w:hyperlink r:id="rId13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11">
              <w:r>
                <w:rPr>
                  <w:rStyle w:val="Hyperlink"/>
                </w:rPr>
                <w:t>handles</w:t>
              </w:r>
            </w:hyperlink>
            <w:r>
              <w:t>&gt;</w:t>
            </w:r>
          </w:p>
          <w:p w:rsidRDefault="007C1B30" w:rsidP="002E5918" w:rsidR="007C1B30">
            <w:pPr>
              <w:pStyle w:val="c"/>
            </w:pPr>
            <w:r>
              <w:t xml:space="preserve">  &lt;v:h ... polar="0,0" ... /&gt;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1">
              <w:r>
                <w:rPr>
                  <w:rStyle w:val="Hyperlink"/>
                </w:rPr>
                <w:t>handles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position</w:t>
            </w:r>
            <w:r>
              <w:t xml:space="preserve"> (Handle Position)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x and y position of the handle.  If the </w:t>
            </w:r>
            <w:r>
              <w:t>polar</w:t>
            </w:r>
            <w:r>
              <w:t xml:space="preserve"> attribute is present, defines the handle position using radius and angle values.  </w:t>
            </w:r>
            <w:hyperlink r:id="rId13">
              <w:r>
                <w:rPr>
                  <w:rStyle w:val="Hyperlink"/>
                </w:rPr>
                <w:t>Default</w:t>
              </w:r>
            </w:hyperlink>
            <w:r>
              <w:t xml:space="preserve"> is "0,0".</w:t>
            </w:r>
          </w:p>
          <w:p w:rsidRDefault="007C1B30" w:rsidP="002E5918" w:rsidR="007C1B30"/>
          <w:p w:rsidRDefault="007C1B30" w:rsidP="002E5918" w:rsidR="007C1B30">
            <w:r>
              <w:t>Each value in the vector is one of the following:</w:t>
            </w:r>
          </w:p>
          <w:p w:rsidRDefault="007C1B30" w:rsidP="002E5918" w:rsidR="007C1B30">
            <w:pPr>
              <w:pStyle w:val="ListBullet"/>
            </w:pPr>
            <w:r>
              <w:t>constant</w:t>
            </w:r>
          </w:p>
          <w:p w:rsidRDefault="007C1B30" w:rsidP="002E5918" w:rsidR="007C1B30">
            <w:pPr>
              <w:pStyle w:val="ListBullet"/>
            </w:pPr>
            <w:r>
              <w:t xml:space="preserve">formula (e.g., </w:t>
            </w:r>
            <w:r>
              <w:t>@2</w:t>
            </w:r>
            <w:r>
              <w:t>)</w:t>
            </w:r>
          </w:p>
          <w:p w:rsidRDefault="007C1B30" w:rsidP="002E5918" w:rsidR="007C1B30">
            <w:pPr>
              <w:pStyle w:val="ListBullet"/>
            </w:pPr>
            <w:r>
              <w:t xml:space="preserve">adj </w:t>
            </w:r>
            <w:r>
              <w:t xml:space="preserve">value (e.g., </w:t>
            </w:r>
            <w:r>
              <w:t>#2</w:t>
            </w:r>
            <w:r>
              <w:t>)</w:t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center</w:t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topleft</w:t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bottomright</w:t>
            </w:r>
          </w:p>
          <w:p w:rsidRDefault="007C1B30" w:rsidP="002E5918" w:rsidR="007C1B30"/>
          <w:p w:rsidRDefault="007C1B30" w:rsidP="002E5918" w:rsidR="007C1B30">
            <w:r>
              <w:t xml:space="preserve">Each of the above except for an </w:t>
            </w:r>
            <w:r>
              <w:t xml:space="preserve">adj </w:t>
            </w:r>
            <w:r>
              <w:t xml:space="preserve">value reference fixes the handle position for that dimension.  Specifying an </w:t>
            </w:r>
            <w:r>
              <w:t xml:space="preserve">adj </w:t>
            </w:r>
            <w:r>
              <w:t xml:space="preserve">value allows the handle to move in that dimension and the handle position for that dimension is stored in the </w:t>
            </w:r>
            <w:r>
              <w:t xml:space="preserve">adj </w:t>
            </w:r>
            <w:r>
              <w:t>value.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 xml:space="preserve">Example: </w:t>
            </w:r>
            <w:r>
              <w:t>The handle's x position is fixed but it is free to move in the y dimension: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11">
              <w:r>
                <w:rPr>
                  <w:rStyle w:val="Hyperlink"/>
                </w:rPr>
                <w:t>handles</w:t>
              </w:r>
            </w:hyperlink>
            <w:r>
              <w:t>&gt;</w:t>
            </w:r>
          </w:p>
          <w:p w:rsidRDefault="007C1B30" w:rsidP="002E5918" w:rsidR="007C1B30">
            <w:pPr>
              <w:pStyle w:val="c"/>
            </w:pPr>
            <w:r>
              <w:t xml:space="preserve">  &lt;v:h ... position="topleft,#2" ... /&gt;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1">
              <w:r>
                <w:rPr>
                  <w:rStyle w:val="Hyperlink"/>
                </w:rPr>
                <w:t>handles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radiusrange</w:t>
            </w:r>
            <w:r>
              <w:t xml:space="preserve"> (Handle Polar Radius Range)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 range of minimum and maximum values that constrain the radius of a handle using polar coordinates.  </w:t>
            </w:r>
            <w:hyperlink r:id="rId13">
              <w:r>
                <w:rPr>
                  <w:rStyle w:val="Hyperlink"/>
                </w:rPr>
                <w:t>Default</w:t>
              </w:r>
            </w:hyperlink>
            <w:r>
              <w:t xml:space="preserve"> is "0,0".  Each value is either a constant or a formula reference.  Omitting a value leaves that bound unconstrained.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 xml:space="preserve">Example: </w:t>
            </w:r>
            <w:r>
              <w:t>The polar handle may only be moved within a radius range of 25 to 50.</w:t>
            </w:r>
          </w:p>
          <w:p w:rsidRDefault="007C1B30" w:rsidP="002E5918" w:rsidR="007C1B30"/>
          <w:p w:rsidRDefault="007C1B30" w:rsidP="002E5918" w:rsidR="007C1B30">
            <w:pPr>
              <w:pStyle w:val="c"/>
              <w:rPr>
                <w:lang w:val="de-DE"/>
              </w:rPr>
            </w:pPr>
            <w:r>
              <w:t>&lt;v:</w:t>
            </w:r>
            <w:hyperlink r:id="rId11">
              <w:r>
                <w:rPr>
                  <w:rStyle w:val="Hyperlink"/>
                </w:rPr>
                <w:t>handles</w:t>
              </w:r>
            </w:hyperlink>
            <w:r>
              <w:t>&gt;</w:t>
            </w:r>
          </w:p>
          <w:p w:rsidRDefault="007C1B30" w:rsidP="002E5918" w:rsidR="007C1B30">
            <w:pPr>
              <w:pStyle w:val="c"/>
              <w:rPr>
                <w:lang w:val="de-DE"/>
              </w:rPr>
            </w:pPr>
            <w:r>
              <w:t xml:space="preserve">  &lt;v:h ... radiusrange="25,50" ... /&gt;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1">
              <w:r>
                <w:rPr>
                  <w:rStyle w:val="Hyperlink"/>
                </w:rPr>
                <w:t>handles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switch</w:t>
            </w:r>
            <w:r>
              <w:t xml:space="preserve"> (Handle Inversion Toggle)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x and y dimensions of the handle are switched when the shape is taller than it is wide.  </w:t>
            </w:r>
            <w:hyperlink r:id="rId13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  This is useful for shapes with limo stretch behavior.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11">
              <w:r>
                <w:rPr>
                  <w:rStyle w:val="Hyperlink"/>
                </w:rPr>
                <w:t>handles</w:t>
              </w:r>
            </w:hyperlink>
            <w:r>
              <w:t>&gt;</w:t>
            </w:r>
          </w:p>
          <w:p w:rsidRDefault="007C1B30" w:rsidP="002E5918" w:rsidR="007C1B30">
            <w:pPr>
              <w:pStyle w:val="c"/>
            </w:pPr>
            <w:r>
              <w:t xml:space="preserve">  &lt;v:h ... switch="true" ... /&gt;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1">
              <w:r>
                <w:rPr>
                  <w:rStyle w:val="Hyperlink"/>
                </w:rPr>
                <w:t>handles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ST_TrueFalseBlank</w:t>
              </w:r>
            </w:hyperlink>
            <w:r>
              <w:t/>
            </w:r>
            <w:r>
              <w:t xml:space="preserve"> simple type (§</w:t>
            </w:r>
            <w:fldSimple w:instr="REF book6db1285b-cad5-4346-b47c-df943127caac \r \h">
              <w:r>
                <w:t>6.1.3.15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xrange</w:t>
            </w:r>
            <w:r>
              <w:t xml:space="preserve"> (Handle X Position Range)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 range of minimum and maximum values that constrain the x position of a handle.  </w:t>
            </w:r>
            <w:hyperlink r:id="rId13">
              <w:r>
                <w:rPr>
                  <w:rStyle w:val="Hyperlink"/>
                </w:rPr>
                <w:t>Default</w:t>
              </w:r>
            </w:hyperlink>
            <w:r>
              <w:t xml:space="preserve"> is "0,0".  Each value is either a constant or a formula reference.  Omitting a value leaves that bound unconstrained.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  <w:r>
              <w:t xml:space="preserve"> The handle's x position has a maximum bound of 500 and no minimum bound:</w:t>
            </w:r>
          </w:p>
          <w:p w:rsidRDefault="007C1B30" w:rsidP="002E5918" w:rsidR="007C1B30"/>
          <w:p w:rsidRDefault="007C1B30" w:rsidP="002E5918" w:rsidR="007C1B30">
            <w:pPr>
              <w:pStyle w:val="c"/>
              <w:rPr>
                <w:lang w:val="de-DE"/>
              </w:rPr>
            </w:pPr>
            <w:r>
              <w:t>&lt;v:</w:t>
            </w:r>
            <w:hyperlink r:id="rId11">
              <w:r>
                <w:rPr>
                  <w:rStyle w:val="Hyperlink"/>
                </w:rPr>
                <w:t>handles</w:t>
              </w:r>
            </w:hyperlink>
            <w:r>
              <w:t>&gt;</w:t>
            </w:r>
          </w:p>
          <w:p w:rsidRDefault="007C1B30" w:rsidP="002E5918" w:rsidR="007C1B30">
            <w:pPr>
              <w:pStyle w:val="c"/>
              <w:rPr>
                <w:lang w:val="de-DE"/>
              </w:rPr>
            </w:pPr>
            <w:r>
              <w:t xml:space="preserve">  &lt;v:h ... xrange=",500" ... /&gt;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1">
              <w:r>
                <w:rPr>
                  <w:rStyle w:val="Hyperlink"/>
                </w:rPr>
                <w:t>handles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yrange</w:t>
            </w:r>
            <w:r>
              <w:t xml:space="preserve"> (Handle Y Position Range)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 range of minimum and maximum values that constrain the y position of a handle.  </w:t>
            </w:r>
            <w:hyperlink r:id="rId13">
              <w:r>
                <w:rPr>
                  <w:rStyle w:val="Hyperlink"/>
                </w:rPr>
                <w:t>Default</w:t>
              </w:r>
            </w:hyperlink>
            <w:r>
              <w:t xml:space="preserve"> is "0,0".  Each value is either a constant or a formula reference.  Omitting a value leaves that bound unconstrained.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  <w:r>
              <w:t xml:space="preserve"> The handle's y position has a minimum bound of -500 and no maximum bound: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11">
              <w:r>
                <w:rPr>
                  <w:rStyle w:val="Hyperlink"/>
                </w:rPr>
                <w:t>handles</w:t>
              </w:r>
            </w:hyperlink>
            <w:r>
              <w:t>&gt;</w:t>
            </w:r>
          </w:p>
          <w:p w:rsidRDefault="007C1B30" w:rsidP="002E5918" w:rsidR="007C1B30">
            <w:pPr>
              <w:pStyle w:val="c"/>
            </w:pPr>
            <w:r>
              <w:t xml:space="preserve">  &lt;v:h ... yrange="-500," ... /&gt;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1">
              <w:r>
                <w:rPr>
                  <w:rStyle w:val="Hyperlink"/>
                </w:rPr>
                <w:t>handles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name="CT_H"&gt;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name="position" type="xsd:string"/&gt;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name="polar" type="xsd:string"/&gt;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name="map" type="xsd:string"/&gt;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name="invx" type="</w:t>
      </w:r>
      <w:hyperlink r:id="rId14">
        <w:r>
          <w:rPr>
            <w:rStyle w:val="Hyperlink"/>
          </w:rPr>
          <w:t>ST_TrueFalse</w:t>
        </w:r>
      </w:hyperlink>
      <w:r>
        <w:t>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name="invy" type="</w:t>
      </w:r>
      <w:hyperlink r:id="rId14">
        <w:r>
          <w:rPr>
            <w:rStyle w:val="Hyperlink"/>
          </w:rPr>
          <w:t>ST_TrueFalse</w:t>
        </w:r>
      </w:hyperlink>
      <w:r>
        <w:t>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name="switch" type="</w:t>
      </w:r>
      <w:hyperlink r:id="rId15">
        <w:r>
          <w:rPr>
            <w:rStyle w:val="Hyperlink"/>
          </w:rPr>
          <w:t>ST_TrueFalseBlank</w:t>
        </w:r>
      </w:hyperlink>
      <w:r>
        <w:t>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name="xrange" type="xsd:string"/&gt;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name="yrange" type="xsd:string"/&gt;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name="radiusrange" type="xsd:string"/&gt;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ulas.docx" TargetMode="External"/><Relationship Id="rId9" Type="http://schemas.openxmlformats.org/officeDocument/2006/relationships/hyperlink" Target="path.docx" TargetMode="External"/><Relationship Id="rId10" Type="http://schemas.openxmlformats.org/officeDocument/2006/relationships/hyperlink" Target="f.docx" TargetMode="External"/><Relationship Id="rId11" Type="http://schemas.openxmlformats.org/officeDocument/2006/relationships/hyperlink" Target="handles.docx" TargetMode="External"/><Relationship Id="rId12" Type="http://schemas.openxmlformats.org/officeDocument/2006/relationships/hyperlink" Target="shape.docx" TargetMode="External"/><Relationship Id="rId13" Type="http://schemas.openxmlformats.org/officeDocument/2006/relationships/hyperlink" Target="Default.docx" TargetMode="External"/><Relationship Id="rId14" Type="http://schemas.openxmlformats.org/officeDocument/2006/relationships/hyperlink" Target="ST_TrueFalse.docx" TargetMode="External"/><Relationship Id="rId15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