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50.png" ContentType="image/png"/>
  <Override PartName="/word/media/image151.png" ContentType="image/png"/>
  <Override PartName="/word/media/image152.png" ContentType="image/png"/>
  <Override PartName="/word/media/image153.png" ContentType="image/png"/>
  <Override PartName="/word/media/image154.png" ContentType="image/png"/>
  <Override PartName="/word/media/image155.png" ContentType="image/png"/>
  <Override PartName="/word/media/image156.png" ContentType="image/png"/>
  <Override PartName="/word/media/image15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18_1" w:id="100001"/>
      <w:bookmarkStart w:name="book047c6df5-8918-4926-85f4-07df6da16ee7_1" w:id="100002"/>
      <w:r>
        <w:t>diagram</w:t>
      </w:r>
      <w:r>
        <w:t xml:space="preserve"> (VML Diagram)</w:t>
      </w:r>
      <w:bookmarkEnd w:id="100001"/>
    </w:p>
    <w:bookmarkEnd w:id="100002"/>
    <w:p w:rsidRDefault="007C1B30" w:rsidP="007C1B30" w:rsidR="007C1B30">
      <w:r>
        <w:t xml:space="preserve">This element specifies semantic information for a limited set of structured diagrams that have </w:t>
      </w:r>
      <w:hyperlink r:id="rId16">
        <w:r>
          <w:rPr>
            <w:rStyle w:val="Hyperlink"/>
          </w:rPr>
          <w:t>VML</w:t>
        </w:r>
      </w:hyperlink>
      <w:r>
        <w:t xml:space="preserve"> representations.  Note that diagrams should be defined using DrawingML; this representation is included for compatibility with applications that rely on VML.  The following diagram types have </w:t>
      </w:r>
      <w:hyperlink r:id="rId16">
        <w:r>
          <w:rPr>
            <w:rStyle w:val="Hyperlink"/>
          </w:rPr>
          <w:t>VML</w:t>
        </w:r>
      </w:hyperlink>
      <w:r>
        <w:t xml:space="preserve"> representations: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2000"/>
        <w:gridCol w:w="2705"/>
      </w:tblGrid>
      <w:tr w:rsidTr="002E5918" w:rsidR="007C1B30" w:rsidRPr="00802E93">
        <w:trPr>
          <w:cnfStyle w:val="100000000000"/>
        </w:trPr>
        <w:tc>
          <w:tcPr>
            <w:tcW w:type="dxa" w:w="2000"/>
          </w:tcPr>
          <w:p w:rsidRDefault="007C1B30" w:rsidP="002E5918" w:rsidR="007C1B30">
            <w:r>
              <w:t>Diagram Type</w:t>
            </w:r>
          </w:p>
        </w:tc>
        <w:tc>
          <w:tcPr>
            <w:tcW w:type="dxa" w:w="2705"/>
          </w:tcPr>
          <w:p w:rsidRDefault="007C1B30" w:rsidP="002E5918" w:rsidR="007C1B30">
            <w:pPr>
              <w:rPr>
                <w:noProof/>
                <w:lang w:eastAsia="en-US" w:val="en-US"/>
              </w:rPr>
            </w:pPr>
            <w:r>
              <w:t>Example (non-normative)</w:t>
            </w:r>
          </w:p>
        </w:tc>
      </w:tr>
      <w:tr w:rsidTr="002E5918" w:rsidR="007C1B30" w:rsidRPr="001B5029">
        <w:tc>
          <w:tcPr>
            <w:tcW w:type="dxa" w:w="2000"/>
          </w:tcPr>
          <w:p w:rsidRDefault="007C1B30" w:rsidP="002E5918" w:rsidR="007C1B30">
            <w:r>
              <w:t>Organization chart</w:t>
            </w:r>
          </w:p>
        </w:tc>
        <w:tc>
          <w:tcPr>
            <w:tcW w:type="dxa" w:w="2705"/>
          </w:tcPr>
          <w:p w:rsidRDefault="007C1B30" w:rsidP="002E5918" w:rsidR="007C1B30">
            <w:r>
              <w:drawing>
                <wp:inline distR="0" distL="0" distB="0" distT="0">
                  <wp:extent cy="571500" cx="1085850"/>
                  <wp:effectExtent b="-9525" r="-9525" t="0" l="0"/>
                  <wp:docPr name="Picture 11" id="7155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571500" cx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 w:rsidRPr="00802E93">
        <w:tc>
          <w:tcPr>
            <w:tcW w:type="dxa" w:w="2000"/>
          </w:tcPr>
          <w:p w:rsidRDefault="007C1B30" w:rsidP="002E5918" w:rsidR="007C1B30">
            <w:r>
              <w:t>Radial</w:t>
            </w:r>
          </w:p>
        </w:tc>
        <w:tc>
          <w:tcPr>
            <w:tcW w:type="dxa" w:w="2705"/>
          </w:tcPr>
          <w:p w:rsidRDefault="007C1B30" w:rsidP="002E5918" w:rsidR="007C1B30">
            <w:r>
              <w:drawing>
                <wp:inline distR="0" distL="0" distB="0" distT="0">
                  <wp:extent cy="752475" cx="838200"/>
                  <wp:effectExtent b="-9525" r="-9525" t="0" l="0"/>
                  <wp:docPr name="Picture 13" id="165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52475" cx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 w:rsidRPr="00802E93">
        <w:tc>
          <w:tcPr>
            <w:tcW w:type="dxa" w:w="2000"/>
          </w:tcPr>
          <w:p w:rsidRDefault="007C1B30" w:rsidP="002E5918" w:rsidR="007C1B30">
            <w:r>
              <w:t>Cycle</w:t>
            </w:r>
          </w:p>
        </w:tc>
        <w:tc>
          <w:tcPr>
            <w:tcW w:type="dxa" w:w="2705"/>
          </w:tcPr>
          <w:p w:rsidRDefault="007C1B30" w:rsidP="002E5918" w:rsidR="007C1B30">
            <w:r>
              <w:drawing>
                <wp:inline distR="0" distL="0" distB="0" distT="0">
                  <wp:extent cy="838200" cx="857250"/>
                  <wp:effectExtent b="-9525" r="-9525" t="0" l="0"/>
                  <wp:docPr name="Picture 15" id="5258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38200" cx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 w:rsidRPr="00802E93">
        <w:tc>
          <w:tcPr>
            <w:tcW w:type="dxa" w:w="2000"/>
          </w:tcPr>
          <w:p w:rsidRDefault="007C1B30" w:rsidP="002E5918" w:rsidR="007C1B30">
            <w:r>
              <w:t>Pyramid</w:t>
            </w:r>
          </w:p>
        </w:tc>
        <w:tc>
          <w:tcPr>
            <w:tcW w:type="dxa" w:w="2705"/>
          </w:tcPr>
          <w:p w:rsidRDefault="007C1B30" w:rsidP="002E5918" w:rsidR="007C1B30">
            <w:r>
              <w:drawing>
                <wp:inline distR="0" distL="0" distB="0" distT="0">
                  <wp:extent cy="809625" cx="923925"/>
                  <wp:effectExtent b="-9525" r="-9525" t="0" l="0"/>
                  <wp:docPr name="Picture 17" id="235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09625" cx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 w:rsidRPr="00802E93">
        <w:tc>
          <w:tcPr>
            <w:tcW w:type="dxa" w:w="2000"/>
          </w:tcPr>
          <w:p w:rsidRDefault="007C1B30" w:rsidP="002E5918" w:rsidR="007C1B30">
            <w:r>
              <w:t>Venn</w:t>
            </w:r>
          </w:p>
        </w:tc>
        <w:tc>
          <w:tcPr>
            <w:tcW w:type="dxa" w:w="2705"/>
          </w:tcPr>
          <w:p w:rsidRDefault="007C1B30" w:rsidP="002E5918" w:rsidR="007C1B30">
            <w:r>
              <w:drawing>
                <wp:inline distR="0" distL="0" distB="0" distT="0">
                  <wp:extent cy="704850" cx="771525"/>
                  <wp:effectExtent b="-9525" r="-9525" t="0" l="0"/>
                  <wp:docPr name="Picture 19" id="8732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04850" cx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dxa" w:w="2000"/>
          </w:tcPr>
          <w:p w:rsidRDefault="007C1B30" w:rsidP="002E5918" w:rsidR="007C1B30">
            <w:r>
              <w:t>Bulls-eye</w:t>
            </w:r>
          </w:p>
        </w:tc>
        <w:tc>
          <w:tcPr>
            <w:tcW w:type="dxa" w:w="2705"/>
          </w:tcPr>
          <w:p w:rsidRDefault="007C1B30" w:rsidP="002E5918" w:rsidR="007C1B30">
            <w:r>
              <w:drawing>
                <wp:inline distR="0" distL="0" distB="0" distT="0">
                  <wp:extent cy="723900" cx="790575"/>
                  <wp:effectExtent b="-9525" r="-9525" t="0" l="0"/>
                  <wp:docPr name="Picture 21" id="122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23900" cx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7C1B30" w:rsidP="007C1B30" w:rsidR="007C1B30"/>
    <w:p w:rsidRDefault="007C1B30" w:rsidP="007C1B30" w:rsidR="007C1B30">
      <w:r>
        <w:t>Each of these types of diagrams contains shapes that are positioned relative to one another.  Each shape also has optional associated text.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17">
              <w:r>
                <w:rPr>
                  <w:rStyle w:val="Hyperlink"/>
                </w:rPr>
                <w:t>background</w:t>
              </w:r>
            </w:hyperlink>
            <w:r>
              <w:t/>
            </w:r>
            <w:r>
              <w:t xml:space="preserve"> (§</w:t>
            </w:r>
            <w:fldSimple w:instr="REF book4f9bc654-1a0d-4662-b28f-1c5b04ed2e00 \r \h">
              <w:r>
                <w:t>2.2.1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group</w:t>
              </w:r>
            </w:hyperlink>
            <w:r>
              <w:t/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hdrShapeDefaults</w:t>
            </w:r>
            <w:r>
              <w:t xml:space="preserve"> (§</w:t>
            </w:r>
            <w:fldSimple w:instr="REF book38c9f83b-dc48-49eb-b3ae-53784bbfbe0a \r \h">
              <w:r>
                <w:t>2.15.1.50</w:t>
              </w:r>
            </w:fldSimple>
            <w:r>
              <w:t xml:space="preserve">); </w:t>
            </w:r>
            <w:r>
              <w:t>object</w:t>
            </w:r>
            <w:r>
              <w:t xml:space="preserve"> (§</w:t>
            </w:r>
            <w:fldSimple w:instr="REF bookd0e6e144-160f-4139-b41b-852483daf4c9 \r \h">
              <w:r>
                <w:t>2.3.3.19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18fc59c2-1bb6-4a70-a5be-188f6684ddd4 \r \h">
              <w:r>
                <w:t>2.3.3.21</w:t>
              </w:r>
            </w:fldSimple>
            <w:r>
              <w:t xml:space="preserve">); </w:t>
            </w:r>
            <w:r>
              <w:t>pict</w:t>
            </w:r>
            <w:r>
              <w:t xml:space="preserve"> (§</w:t>
            </w:r>
            <w:fldSimple w:instr="REF booke74e8184-e08d-4ed3-b872-aee45edd83b4 \r \h">
              <w:r>
                <w:t>2.9.23</w:t>
              </w:r>
            </w:fldSimple>
            <w:r>
              <w:t xml:space="preserve">); </w:t>
            </w:r>
            <w:r>
              <w:t>shapeDefaults</w:t>
            </w:r>
            <w:r>
              <w:t xml:space="preserve"> (§</w:t>
            </w:r>
            <w:fldSimple w:instr="REF bookc32f1a86-5e90-417d-b656-aba452594838 \r \h">
              <w:r>
                <w:t>2.15.1.79</w:t>
              </w:r>
            </w:fldSimple>
            <w:r>
              <w:t>)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7C1B30">
        <w:trPr>
          <w:cnfStyle w:val="100000000000"/>
        </w:trPr>
        <w:tc>
          <w:tcPr>
            <w:tcW w:type="pct" w:w="4500"/>
          </w:tcPr>
          <w:p w:rsidRDefault="007C1B30" w:rsidP="002E5918" w:rsidR="007C1B30">
            <w:r>
              <w:t>Child Elements</w:t>
            </w:r>
          </w:p>
        </w:tc>
        <w:tc>
          <w:tcPr>
            <w:tcW w:type="pct" w:w="500"/>
          </w:tcPr>
          <w:p w:rsidRDefault="007C1B30" w:rsidP="002E5918" w:rsidR="007C1B30">
            <w:r>
              <w:t>Subclause</w:t>
            </w:r>
          </w:p>
        </w:tc>
      </w:tr>
      <w:tr w:rsidTr="002E5918" w:rsidR="007C1B30">
        <w:tc>
          <w:tcPr>
            <w:tcW w:type="pct" w:w="4500"/>
          </w:tcPr>
          <w:p w:rsidRDefault="007C1B30" w:rsidP="002E5918" w:rsidR="007C1B30">
            <w:r>
              <w:t/>
            </w:r>
            <w:hyperlink r:id="rId19">
              <w:r>
                <w:rPr>
                  <w:rStyle w:val="Hyperlink"/>
                </w:rPr>
                <w:t>relationtable</w:t>
              </w:r>
            </w:hyperlink>
            <w:r>
              <w:t/>
            </w:r>
            <w:r>
              <w:t xml:space="preserve"> (Diagram Relationship Table)</w:t>
            </w:r>
          </w:p>
        </w:tc>
        <w:tc>
          <w:tcPr>
            <w:tcW w:type="pct" w:w="500"/>
          </w:tcPr>
          <w:p w:rsidRDefault="007C1B30" w:rsidP="002E5918" w:rsidR="007C1B30">
            <w:r>
              <w:t>§</w:t>
            </w:r>
            <w:fldSimple w:instr="REF book831eb920-141a-41d4-beb2-691171c42eeb \r \h">
              <w:r>
                <w:t>6.2.2.24</w:t>
              </w:r>
            </w:fldSimple>
          </w:p>
        </w:tc>
      </w:tr>
    </w:tbl>
    <w:p w:rsidRDefault="007C1B30" w:rsidP="007C1B30" w:rsidR="007C1B30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7C1B30">
        <w:trPr>
          <w:cnfStyle w:val="100000000000"/>
        </w:trPr>
        <w:tc>
          <w:tcPr>
            <w:tcW w:type="pct" w:w="1000"/>
          </w:tcPr>
          <w:p w:rsidRDefault="007C1B30" w:rsidP="002E5918" w:rsidR="007C1B30">
            <w:r>
              <w:t>Attributes</w:t>
            </w:r>
          </w:p>
        </w:tc>
        <w:tc>
          <w:tcPr>
            <w:tcW w:type="pct" w:w="40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autoformat</w:t>
            </w:r>
            <w:r>
              <w:t xml:space="preserve"> (Diagram Automatic Format)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diagram is formatted automatically by the application and user overrides are locked.  </w:t>
            </w:r>
            <w:hyperlink r:id="rId20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false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&lt;o:diagram ... autoformat="true"&gt;</w:t>
            </w:r>
          </w:p>
          <w:p w:rsidRDefault="007C1B30" w:rsidP="002E5918" w:rsidR="007C1B30">
            <w:pPr>
              <w:pStyle w:val="c"/>
            </w:pPr>
            <w:r>
              <w:t>&lt;/o:diagram&gt;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autolayout</w:t>
            </w:r>
            <w:r>
              <w:t xml:space="preserve"> (Diagram Automatic Layout)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whether the diagram elements are laid out automatically by the application and user overrides are locked.  </w:t>
            </w:r>
            <w:hyperlink r:id="rId20">
              <w:r>
                <w:rPr>
                  <w:rStyle w:val="Hyperlink"/>
                </w:rPr>
                <w:t>Default</w:t>
              </w:r>
            </w:hyperlink>
            <w:r>
              <w:t xml:space="preserve"> is </w:t>
            </w:r>
            <w:r>
              <w:t>true</w:t>
            </w:r>
            <w:r>
              <w:t>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&lt;o:diagram ... autolayout="false"&gt;</w:t>
            </w:r>
          </w:p>
          <w:p w:rsidRDefault="007C1B30" w:rsidP="002E5918" w:rsidR="007C1B30">
            <w:pPr>
              <w:pStyle w:val="c"/>
            </w:pPr>
            <w:r>
              <w:t>&lt;/o:diagram&gt;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constrainbounds</w:t>
            </w:r>
            <w:r>
              <w:t xml:space="preserve"> (Diagram Layout Extents)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an optional, application-specific parameter related to the diagram's extents intended to be used by the application to assist laying out the diagram.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&lt;o:diagram ... constrainbounds="</w:t>
            </w:r>
            <w:r>
              <w:t>2910,2696,9773,9558</w:t>
            </w:r>
            <w:r>
              <w:t>"&gt;</w:t>
            </w:r>
          </w:p>
          <w:p w:rsidRDefault="007C1B30" w:rsidP="002E5918" w:rsidR="007C1B30">
            <w:pPr>
              <w:pStyle w:val="c"/>
            </w:pPr>
            <w:r>
              <w:t>&lt;/o:diagram&gt;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dgmbasetextscale</w:t>
            </w:r>
            <w:r>
              <w:t xml:space="preserve"> (Diagram Base Font Size)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the diagram's original font size.  This is used in subsequent font size recalculations.  If the most recent diagram font size is used to calculate the font size after a rescale, the font size would be wrong after non-isometric diagram rescalings.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&lt;o:diagram ... dgmbasetextscale="12"&gt;</w:t>
            </w:r>
          </w:p>
          <w:p w:rsidRDefault="007C1B30" w:rsidP="002E5918" w:rsidR="007C1B30">
            <w:pPr>
              <w:pStyle w:val="c"/>
            </w:pPr>
            <w:r>
              <w:t>&lt;/o:diagram&gt;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integer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dgmfontsize</w:t>
            </w:r>
            <w:r>
              <w:t xml:space="preserve"> (Diagram Font Size)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the font size for attached text when a new diagram node is added.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&lt;o:diagram ... dgmfontsize="12"&gt;</w:t>
            </w:r>
          </w:p>
          <w:p w:rsidRDefault="007C1B30" w:rsidP="002E5918" w:rsidR="007C1B30">
            <w:pPr>
              <w:pStyle w:val="c"/>
            </w:pPr>
            <w:r>
              <w:t>&lt;/o:diagram&gt;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integer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dgmscalex</w:t>
            </w:r>
            <w:r>
              <w:t xml:space="preserve"> (Diagram Layout X Scale)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an optional, application-specific parameter related to the horizontal scaling of the diagram that is intended to be used by the application to assist laying out the diagram.</w:t>
            </w:r>
          </w:p>
          <w:p w:rsidRDefault="007C1B30" w:rsidP="002E5918" w:rsidR="007C1B30">
            <w:pPr>
              <w:ind w:firstLine="720"/>
            </w:pPr>
          </w:p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&lt;o:diagram ... dgmscalex="50000"&gt;</w:t>
            </w:r>
          </w:p>
          <w:p w:rsidRDefault="007C1B30" w:rsidP="002E5918" w:rsidR="007C1B30">
            <w:pPr>
              <w:pStyle w:val="c"/>
            </w:pPr>
            <w:r>
              <w:t>&lt;/o:diagram&gt;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integer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dgmscaley</w:t>
            </w:r>
            <w:r>
              <w:t xml:space="preserve"> (Diagram Layout Y Scale)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an optional, application-specific parameter related to the vertical scaling of the diagram that is intended to be used by the application to assist laying out the diagram.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&lt;o:diagram ... dgmscaley="75000"&gt;</w:t>
            </w:r>
          </w:p>
          <w:p w:rsidRDefault="007C1B30" w:rsidP="002E5918" w:rsidR="007C1B30">
            <w:pPr>
              <w:pStyle w:val="c"/>
            </w:pPr>
            <w:r>
              <w:t>&lt;/o:diagram&gt;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integer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dgmstyle</w:t>
            </w:r>
            <w:r>
              <w:t xml:space="preserve"> (Diagram Style Options)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an optional, application-specific parameter related to the styling of the diagram that is intended to be used by the application to assist in formatting the diagram.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&lt;o:diagram ... dgmstyle="1"&gt;</w:t>
            </w:r>
          </w:p>
          <w:p w:rsidRDefault="007C1B30" w:rsidP="002E5918" w:rsidR="007C1B30">
            <w:pPr>
              <w:pStyle w:val="c"/>
            </w:pPr>
            <w:r>
              <w:t>&lt;/o:diagram&gt;</w:t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XML Schema </w:t>
            </w:r>
            <w:r>
              <w:t>integer</w:t>
            </w:r>
            <w:r>
              <w:t xml:space="preserve"> datatype.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ext</w:t>
            </w:r>
            <w:r>
              <w:t xml:space="preserve"> (VML Extension Handling Behavior)</w:t>
            </w:r>
          </w:p>
          <w:p w:rsidRDefault="007C1B30" w:rsidP="002E5918" w:rsidR="007C1B30"/>
          <w:p w:rsidRDefault="007C1B30" w:rsidP="002E5918" w:rsidR="007C1B30">
            <w:r>
              <w:t xml:space="preserve">Namespace: </w:t>
            </w:r>
            <w:r>
              <w:t>urn:schemas-microsoft-com:vml</w:t>
            </w:r>
          </w:p>
        </w:tc>
        <w:tc>
          <w:tcPr>
            <w:tcW w:type="pct" w:w="4000"/>
          </w:tcPr>
          <w:p w:rsidRDefault="007C1B30" w:rsidP="002E5918" w:rsidR="007C1B30">
            <w:r>
              <w:t xml:space="preserve">Specifies an optional value that indicates how applications that implement </w:t>
            </w:r>
            <w:hyperlink r:id="rId16">
              <w:r>
                <w:rPr>
                  <w:rStyle w:val="Hyperlink"/>
                </w:rPr>
                <w:t>VML</w:t>
              </w:r>
            </w:hyperlink>
            <w:r>
              <w:t xml:space="preserve"> should interpret extensions not defined as part of the original specification of core VML. 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Rationale</w:t>
            </w:r>
            <w:r>
              <w:t xml:space="preserve">: This part of the original </w:t>
            </w:r>
            <w:hyperlink r:id="rId16">
              <w:r>
                <w:rPr>
                  <w:rStyle w:val="Hyperlink"/>
                </w:rPr>
                <w:t>VML</w:t>
              </w:r>
            </w:hyperlink>
            <w:r>
              <w:t xml:space="preserve"> specification is included to assist applications that leverage existing </w:t>
            </w:r>
            <w:hyperlink r:id="rId16">
              <w:r>
                <w:rPr>
                  <w:rStyle w:val="Hyperlink"/>
                </w:rPr>
                <w:t>VML</w:t>
              </w:r>
            </w:hyperlink>
            <w:r>
              <w:t xml:space="preserve"> support in implementing the Office Open XML Format. </w:t>
            </w:r>
            <w:r>
              <w:t>end rationale</w:t>
            </w:r>
            <w:r>
              <w:t>]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ST_Ext</w:t>
              </w:r>
            </w:hyperlink>
            <w:r>
              <w:t/>
            </w:r>
            <w:r>
              <w:t xml:space="preserve"> simple type (§</w:t>
            </w:r>
            <w:fldSimple w:instr="REF book040e29ee-22b7-43f0-9739-d9ab3251a519 \r \h">
              <w:r>
                <w:t>6.1.3.3</w:t>
              </w:r>
            </w:fldSimple>
            <w:r>
              <w:t>).</w:t>
            </w:r>
          </w:p>
        </w:tc>
      </w:tr>
      <w:tr w:rsidTr="002E5918" w:rsidR="007C1B30">
        <w:tc>
          <w:tcPr>
            <w:tcW w:type="pct" w:w="1000"/>
          </w:tcPr>
          <w:p w:rsidRDefault="007C1B30" w:rsidP="002E5918" w:rsidR="007C1B30">
            <w:r>
              <w:t>reverse</w:t>
            </w:r>
            <w:r>
              <w:t xml:space="preserve"> (Diagram Reverse Direction)</w:t>
            </w:r>
          </w:p>
        </w:tc>
        <w:tc>
          <w:tcPr>
            <w:tcW w:type="pct" w:w="4000"/>
          </w:tcPr>
          <w:p w:rsidRDefault="007C1B30" w:rsidP="002E5918" w:rsidR="007C1B30">
            <w:r>
              <w:t>Specifies whether the order of the diagram nodes is reversed.  This is only relevant to diagrams that have linear ordering.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Example: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t>&lt;o:diagram ... reverse="true"&gt;</w:t>
            </w:r>
          </w:p>
          <w:p w:rsidRDefault="007C1B30" w:rsidP="002E5918" w:rsidR="007C1B30">
            <w:pPr>
              <w:pStyle w:val="c"/>
            </w:pPr>
            <w:r>
              <w:t>&lt;/o:diagram&gt;</w:t>
            </w:r>
          </w:p>
          <w:p w:rsidRDefault="007C1B30" w:rsidP="002E5918" w:rsidR="007C1B30"/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847725" cx="914400"/>
                  <wp:effectExtent b="0" r="0" t="0" l="0"/>
                  <wp:docPr name="Picture 8" id="1823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47725" cx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reverse="false"</w:t>
            </w:r>
          </w:p>
          <w:p w:rsidRDefault="007C1B30" w:rsidP="002E5918" w:rsidR="007C1B30">
            <w:pPr>
              <w:pStyle w:val="c"/>
            </w:pPr>
            <w:r>
              <w:drawing>
                <wp:inline distR="0" distL="0" distB="0" distT="0">
                  <wp:extent cy="857250" cx="914400"/>
                  <wp:effectExtent b="0" r="0" t="0" l="0"/>
                  <wp:docPr name="Picture 10" id="2925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57250" cx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reverse="true"</w:t>
            </w:r>
          </w:p>
          <w:p w:rsidRDefault="007C1B30" w:rsidP="002E5918" w:rsidR="007C1B30">
            <w:r>
              <w:t>end example</w:t>
            </w:r>
          </w:p>
          <w:p w:rsidRDefault="007C1B30" w:rsidP="002E5918" w:rsidR="007C1B30"/>
          <w:p w:rsidRDefault="007C1B30" w:rsidP="002E5918" w:rsidR="007C1B30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ST_TrueFalse</w:t>
              </w:r>
            </w:hyperlink>
            <w:r>
              <w:t/>
            </w:r>
            <w:r>
              <w:t xml:space="preserve"> simple type (§</w:t>
            </w:r>
            <w:fldSimple w:instr="REF book57d33f75-3499-466b-b99c-ee7abad25566 \r \h">
              <w:r>
                <w:t>6.2.3.23</w:t>
              </w:r>
            </w:fldSimple>
            <w:r>
              <w:t>).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element: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&lt;complexType name="CT_Diagram"&gt;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relationtable</w:t>
        </w:r>
      </w:hyperlink>
      <w:r>
        <w:t>" type="CT_RelationTable" minOccurs="0"/&gt;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ref="v:AG_Ext"/&gt;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name="dgmstyle" type="xsd:integer"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name="autoformat" type="</w:t>
      </w:r>
      <w:hyperlink r:id="rId21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name="reverse" type="</w:t>
      </w:r>
      <w:hyperlink r:id="rId21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name="autolayout" type="</w:t>
      </w:r>
      <w:hyperlink r:id="rId21">
        <w:r>
          <w:rPr>
            <w:rStyle w:val="Hyperlink"/>
          </w:rPr>
          <w:t>ST_TrueFalse</w:t>
        </w:r>
      </w:hyperlink>
      <w:r>
        <w:t>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name="dgmscalex" type="xsd:integer"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name="dgmscaley" type="xsd:integer"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name="dgmfontsize" type="xsd:integer"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name="constrainbounds" type="xsd:string" use="optional"/&gt;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name="dgmbasetextscale" type="xsd:integer" use="optional"/&gt;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50.png"></Relationship><Relationship Id="rId9" Type="http://schemas.openxmlformats.org/officeDocument/2006/relationships/image" Target="media/image151.png"></Relationship><Relationship Id="rId10" Type="http://schemas.openxmlformats.org/officeDocument/2006/relationships/image" Target="media/image152.png"></Relationship><Relationship Id="rId11" Type="http://schemas.openxmlformats.org/officeDocument/2006/relationships/image" Target="media/image153.png"></Relationship><Relationship Id="rId12" Type="http://schemas.openxmlformats.org/officeDocument/2006/relationships/image" Target="media/image154.png"></Relationship><Relationship Id="rId13" Type="http://schemas.openxmlformats.org/officeDocument/2006/relationships/image" Target="media/image155.png"></Relationship><Relationship Id="rId14" Type="http://schemas.openxmlformats.org/officeDocument/2006/relationships/image" Target="media/image156.png"></Relationship><Relationship Id="rId15" Type="http://schemas.openxmlformats.org/officeDocument/2006/relationships/image" Target="media/image157.png"></Relationship><Relationship Id="rId16" Type="http://schemas.openxmlformats.org/officeDocument/2006/relationships/hyperlink" Target="VML.docx" TargetMode="External"/><Relationship Id="rId17" Type="http://schemas.openxmlformats.org/officeDocument/2006/relationships/hyperlink" Target="background.docx" TargetMode="External"/><Relationship Id="rId18" Type="http://schemas.openxmlformats.org/officeDocument/2006/relationships/hyperlink" Target="group.docx" TargetMode="External"/><Relationship Id="rId19" Type="http://schemas.openxmlformats.org/officeDocument/2006/relationships/hyperlink" Target="relationtable.docx" TargetMode="External"/><Relationship Id="rId20" Type="http://schemas.openxmlformats.org/officeDocument/2006/relationships/hyperlink" Target="Default.docx" TargetMode="External"/><Relationship Id="rId21" Type="http://schemas.openxmlformats.org/officeDocument/2006/relationships/hyperlink" Target="ST_TrueFalse.docx" TargetMode="External"/><Relationship Id="rId22" Type="http://schemas.openxmlformats.org/officeDocument/2006/relationships/hyperlink" Target="ST_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