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12_1" w:id="100001"/>
      <w:bookmarkStart w:name="book61dddec7-0558-483b-8dce-84936cd419c7_1" w:id="100002"/>
      <w:r>
        <w:t>callout</w:t>
      </w:r>
      <w:r>
        <w:t xml:space="preserve"> (Callout)</w:t>
      </w:r>
      <w:bookmarkEnd w:id="100001"/>
    </w:p>
    <w:bookmarkEnd w:id="100002"/>
    <w:p w:rsidRDefault="007C1B30" w:rsidP="007C1B30" w:rsidR="007C1B30">
      <w:r>
        <w:t xml:space="preserve">This element specifies the automatic behavior and layout parameters of callout shapes. Callout shapes are standard </w:t>
      </w:r>
      <w:hyperlink r:id="rId8">
        <w:r>
          <w:rPr>
            <w:rStyle w:val="Hyperlink"/>
          </w:rPr>
          <w:t>VML</w:t>
        </w:r>
      </w:hyperlink>
      <w:r>
        <w:t xml:space="preserve"> shapes that behave as callouts, providing an additional callout object which can be used to point at another location:</w:t>
      </w:r>
    </w:p>
    <w:p w:rsidRDefault="007C1B30" w:rsidP="007C1B30" w:rsidR="007C1B30">
      <w:r>
        <w:t>[</w:t>
      </w:r>
      <w:r>
        <w:t>Example</w:t>
      </w:r>
      <w:r>
        <w:t xml:space="preserve">: Consider the following </w:t>
      </w:r>
      <w:hyperlink r:id="rId8">
        <w:r>
          <w:rPr>
            <w:rStyle w:val="Hyperlink"/>
          </w:rPr>
          <w:t>VML</w:t>
        </w:r>
      </w:hyperlink>
      <w:r>
        <w:t xml:space="preserve"> shape:</w:t>
      </w:r>
    </w:p>
    <w:p w:rsidRDefault="007C1B30" w:rsidP="007C1B30" w:rsidR="007C1B30">
      <w:r>
        <w:pict>
          <v:oval o:spid="_x0000_s1026" id="Oval 3" style="width:111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oval>
        </w:pict>
      </w:r>
    </w:p>
    <w:p w:rsidRDefault="007C1B30" w:rsidP="007C1B30" w:rsidR="007C1B30">
      <w:r>
        <w:t xml:space="preserve">If this shape is made a callout shape by adding the </w:t>
      </w:r>
      <w:r>
        <w:t>callout</w:t>
      </w:r>
      <w:r>
        <w:t xml:space="preserve"> element to its shape definition, then the shape will have a callout object, for example:</w:t>
      </w:r>
    </w:p>
    <w:p w:rsidRDefault="007C1B30" w:rsidP="007C1B30" w:rsidR="007C1B30">
      <w:r>
        <w:pict>
          <v:shapetype id="_x0000_t63" coordsize="21600,21600" path="wr,,21600,21600@15@16@17@18l@21@22xe" adj="1350,25920" o:spt="63.0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locs="10800,0;3163,3163;0,10800;3163,18437;10800,21600;18437,18437;21600,10800;18437,3163;@21,@22" o:connecttype="custom" textboxrect="3163,3163,18437,18437"/>
            <v:handles>
              <v:h position="#0,#1"/>
            </v:handles>
          </v:shapetype>
          <v:shape adj="1486,48088" o:spid="_x0000_s1026" id="Oval Callout 2" style="width:117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63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">
            <v:textbox>
              <w:txbxContent>
                <w:p w:rsidRDefault="007C1B30" w:rsidP="007C1B30" w:rsidR="007C1B30"/>
              </w:txbxContent>
            </v:textbox>
            <w10:anchorlock/>
          </v:shape>
        </w:pic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accentbar</w:t>
            </w:r>
            <w:r>
              <w:t xml:space="preserve"> (Callout accent bar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an accent bar will be used with the callout.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angle</w:t>
            </w:r>
            <w:r>
              <w:t xml:space="preserve"> (Callout angle)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angle that the callout makes with respect to the bounding box of the shape.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ST_Angle</w:t>
              </w:r>
            </w:hyperlink>
            <w:r>
              <w:t/>
            </w:r>
            <w:r>
              <w:t xml:space="preserve"> simple type (§</w:t>
            </w:r>
            <w:fldSimple w:instr="REF book1305abb1-6612-48dc-ba1c-4c753047e193 \r \h">
              <w:r>
                <w:t>6.2.3.1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distance</w:t>
            </w:r>
            <w:r>
              <w:t xml:space="preserve"> (Callout drop distance)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drop distance of a callout.  The drop distance of a callout is measured from the edge of the shape where the pointer </w:t>
            </w:r>
            <w:hyperlink r:id="rId14">
              <w:r>
                <w:rPr>
                  <w:rStyle w:val="Hyperlink"/>
                </w:rPr>
                <w:t>line</w:t>
              </w:r>
            </w:hyperlink>
            <w:r>
              <w:t xml:space="preserve"> starts and continues the absolute length of the distance value.  If specified with no units, EMUs are assumed.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drop</w:t>
            </w:r>
            <w:r>
              <w:t xml:space="preserve"> (Callout drop position)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where the drop of a callout will be placed.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ST_CalloutDrop</w:t>
              </w:r>
            </w:hyperlink>
            <w:r>
              <w:t/>
            </w:r>
            <w:r>
              <w:t xml:space="preserve"> simple type (§</w:t>
            </w:r>
            <w:fldSimple w:instr="REF book27fd0800-f5ce-48ad-b460-8a2c95baedd8 \r \h">
              <w:r>
                <w:t>6.2.3.3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dropauto</w:t>
            </w:r>
            <w:r>
              <w:t xml:space="preserve"> (Callout automatic drop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whether the callout has an automatic drop.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gap</w:t>
            </w:r>
            <w:r>
              <w:t xml:space="preserve"> (Callout gap)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distance of the callout </w:t>
            </w:r>
            <w:hyperlink r:id="rId14">
              <w:r>
                <w:rPr>
                  <w:rStyle w:val="Hyperlink"/>
                </w:rPr>
                <w:t>line</w:t>
              </w:r>
            </w:hyperlink>
            <w:r>
              <w:t xml:space="preserve"> from the bounding rectangle of the callout.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value is one-twelfth of an inch, in EMUs (76200).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length</w:t>
            </w:r>
            <w:r>
              <w:t xml:space="preserve"> (Callout length)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length of the first part of a multi-segmented callout line.  If specified with no units, EMUs are assumed.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0.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lengthspecified</w:t>
            </w:r>
            <w:r>
              <w:t xml:space="preserve"> (Callout length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</w:t>
            </w:r>
            <w:r>
              <w:t>length</w:t>
            </w:r>
            <w:r>
              <w:t xml:space="preserve"> attribute will be used for the callout.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 xml:space="preserve">.  If </w:t>
            </w:r>
            <w:r>
              <w:t>true</w:t>
            </w:r>
            <w:r>
              <w:t xml:space="preserve">, the length attribute is used.  If </w:t>
            </w:r>
            <w:r>
              <w:t>false</w:t>
            </w:r>
            <w:r>
              <w:t>, a best fit is used.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minusx</w:t>
            </w:r>
            <w:r>
              <w:t xml:space="preserve"> (Callout flip x)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callout flips to the other side of the drop tip along the x-axis when moved or resized.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minusy</w:t>
            </w:r>
            <w:r>
              <w:t xml:space="preserve"> (Callout flip y)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callout flips to the other side of the drop tip along the y-axis when moved or resized.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on</w:t>
            </w:r>
            <w:r>
              <w:t xml:space="preserve"> (Callout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shape is a callout.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textborder</w:t>
            </w:r>
            <w:r>
              <w:t xml:space="preserve"> (Callout text border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callout has a text border.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type</w:t>
            </w:r>
            <w:r>
              <w:t xml:space="preserve"> (Callout type)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type of callout.  </w:t>
            </w:r>
            <w:hyperlink r:id="rId2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rectangle</w:t>
            </w:r>
            <w:r>
              <w:t>.  Allowed values are: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rectangle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roundedrectangle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15">
              <w:r>
                <w:rPr>
                  <w:rStyle w:val="Hyperlink"/>
                </w:rPr>
                <w:t>oval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cloud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name="CT_Callout"&gt;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name="on" type="</w:t>
      </w:r>
      <w:hyperlink r:id="rId2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name="gap"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name="angle" type="</w:t>
      </w:r>
      <w:hyperlink r:id="rId23">
        <w:r>
          <w:rPr>
            <w:rStyle w:val="Hyperlink"/>
          </w:rPr>
          <w:t>ST_Angle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name="dropauto" type="</w:t>
      </w:r>
      <w:hyperlink r:id="rId2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name="drop" type="</w:t>
      </w:r>
      <w:hyperlink r:id="rId24">
        <w:r>
          <w:rPr>
            <w:rStyle w:val="Hyperlink"/>
          </w:rPr>
          <w:t>ST_CalloutDrop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name="distance"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name="lengthspecified" type="</w:t>
      </w:r>
      <w:hyperlink r:id="rId22">
        <w:r>
          <w:rPr>
            <w:rStyle w:val="Hyperlink"/>
          </w:rPr>
          <w:t>ST_TrueFalse</w:t>
        </w:r>
      </w:hyperlink>
      <w:r>
        <w:t>" default="</w:t>
      </w:r>
      <w:hyperlink r:id="rId26">
        <w:r>
          <w:rPr>
            <w:rStyle w:val="Hyperlink"/>
          </w:rPr>
          <w:t>f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name="length"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name="accentbar" type="</w:t>
      </w:r>
      <w:hyperlink r:id="rId2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name="textborder" type="</w:t>
      </w:r>
      <w:hyperlink r:id="rId2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name="minusx" type="</w:t>
      </w:r>
      <w:hyperlink r:id="rId2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name="minusy" type="</w:t>
      </w:r>
      <w:hyperlink r:id="rId2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arc.docx" TargetMode="External"/><Relationship Id="rId10" Type="http://schemas.openxmlformats.org/officeDocument/2006/relationships/hyperlink" Target="background.docx" TargetMode="External"/><Relationship Id="rId11" Type="http://schemas.openxmlformats.org/officeDocument/2006/relationships/hyperlink" Target="curve.docx" TargetMode="External"/><Relationship Id="rId12" Type="http://schemas.openxmlformats.org/officeDocument/2006/relationships/hyperlink" Target="group.docx" TargetMode="External"/><Relationship Id="rId13" Type="http://schemas.openxmlformats.org/officeDocument/2006/relationships/hyperlink" Target="image.docx" TargetMode="External"/><Relationship Id="rId14" Type="http://schemas.openxmlformats.org/officeDocument/2006/relationships/hyperlink" Target="line.docx" TargetMode="External"/><Relationship Id="rId15" Type="http://schemas.openxmlformats.org/officeDocument/2006/relationships/hyperlink" Target="oval.docx" TargetMode="External"/><Relationship Id="rId16" Type="http://schemas.openxmlformats.org/officeDocument/2006/relationships/hyperlink" Target="polyline.docx" TargetMode="External"/><Relationship Id="rId17" Type="http://schemas.openxmlformats.org/officeDocument/2006/relationships/hyperlink" Target="rect.docx" TargetMode="External"/><Relationship Id="rId18" Type="http://schemas.openxmlformats.org/officeDocument/2006/relationships/hyperlink" Target="roundrect.docx" TargetMode="External"/><Relationship Id="rId19" Type="http://schemas.openxmlformats.org/officeDocument/2006/relationships/hyperlink" Target="shapedefaults.docx" TargetMode="External"/><Relationship Id="rId20" Type="http://schemas.openxmlformats.org/officeDocument/2006/relationships/hyperlink" Target="shapetype.docx" TargetMode="External"/><Relationship Id="rId21" Type="http://schemas.openxmlformats.org/officeDocument/2006/relationships/hyperlink" Target="Default.docx" TargetMode="External"/><Relationship Id="rId22" Type="http://schemas.openxmlformats.org/officeDocument/2006/relationships/hyperlink" Target="ST_TrueFalse.docx" TargetMode="External"/><Relationship Id="rId23" Type="http://schemas.openxmlformats.org/officeDocument/2006/relationships/hyperlink" Target="ST_Angle.docx" TargetMode="External"/><Relationship Id="rId24" Type="http://schemas.openxmlformats.org/officeDocument/2006/relationships/hyperlink" Target="ST_CalloutDrop.docx" TargetMode="External"/><Relationship Id="rId25" Type="http://schemas.openxmlformats.org/officeDocument/2006/relationships/hyperlink" Target="ST_Ext.docx" TargetMode="External"/><Relationship Id="rId26" Type="http://schemas.openxmlformats.org/officeDocument/2006/relationships/hyperlink" Target="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