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1_1" w:id="100001"/>
      <w:bookmarkStart w:name="book02596215-8b88-4773-895e-68aa3a8ac446_1" w:id="100002"/>
      <w:r>
        <w:t>TextHAlign</w:t>
      </w:r>
      <w:r>
        <w:t xml:space="preserve"> (Horizontal Text Alignment)</w:t>
      </w:r>
      <w:bookmarkEnd w:id="100001"/>
    </w:p>
    <w:bookmarkEnd w:id="100002"/>
    <w:p w:rsidRDefault="007C1B30" w:rsidP="007C1B30" w:rsidR="007C1B30">
      <w:r>
        <w:t xml:space="preserve">This element specifies the horizontal text alignment for the object.  Valid values are Left, Justify, Center, Right and Distributed.  If omitted, the alignment is assumed to be </w:t>
      </w:r>
      <w:r>
        <w:t>Left</w:t>
      </w:r>
      <w:r>
        <w:t>.  This element is used for attached text.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&lt;x:TextHAlign&gt;Right&lt;/x:TextHAlign&gt;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