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7.png" ContentType="image/png"/>
  <Override PartName="/word/media/image198.png" ContentType="image/png"/>
  <Override PartName="/word/media/image199.png" ContentType="image/png"/>
  <Override PartName="/word/media/image24.emf" ContentType="image/x-emf"/>
  <Override PartName="/word/media/image26.emf" ContentType="image/x-emf"/>
  <Override PartName="/word/media/image27.png" ContentType="image/png"/>
  <Override PartName="/word/media/image28.emf" ContentType="image/x-emf"/>
  <Override PartName="/word/media/image9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3_1" w:id="100001"/>
      <w:bookmarkStart w:name="book4d65b915-4d05-41a5-8441-0d27508b63fe_1" w:id="100002"/>
      <w:r>
        <w:t/>
      </w:r>
      <w:hyperlink r:id="rId16">
        <w:r>
          <w:rPr>
            <w:rStyle w:val="Hyperlink"/>
          </w:rPr>
          <w:t>ST_FillType</w:t>
        </w:r>
      </w:hyperlink>
      <w:r>
        <w:t/>
      </w:r>
      <w:r>
        <w:t xml:space="preserve"> (Shape Fill Type)</w:t>
      </w:r>
      <w:bookmarkEnd w:id="100001"/>
    </w:p>
    <w:bookmarkEnd w:id="100002"/>
    <w:p w:rsidRDefault="007C1B30" w:rsidP="007C1B30" w:rsidR="007C1B30">
      <w:r>
        <w:t>This simple type specifies the types for fills applied to a shape.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17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(Use Background Fill)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Use 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properties of the </w:t>
            </w:r>
            <w:hyperlink r:id="rId17">
              <w:r>
                <w:rPr>
                  <w:rStyle w:val="Hyperlink"/>
                </w:rPr>
                <w:t>background</w:t>
              </w:r>
            </w:hyperlink>
            <w:r>
              <w:t xml:space="preserve"> of the object on which the shape exists, such as the page.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frame</w:t>
            </w:r>
            <w:r>
              <w:t xml:space="preserve"> (Stretch Image to Fit)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is stretched to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the shape.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495300"/>
                  <wp:effectExtent b="0" r="0" t="0" l="0"/>
                  <wp:docPr name="Picture 9" id="821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</w:t>
            </w:r>
            <w:r>
              <w:t xml:space="preserve"> (Linear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colors blend together in a linear gradient from bottom to top.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4" id="375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gradientCenter</w:t>
            </w:r>
            <w:r>
              <w:t xml:space="preserve"> (Centered Radial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This indicates that the gradient runs across the center of the shape for a gradient that is defined as </w:t>
            </w:r>
            <w:r>
              <w:t>gradientRadial</w:t>
            </w:r>
            <w:r>
              <w:t xml:space="preserve"> in the parent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element (§</w:t>
            </w:r>
            <w:fldSimple w:instr="REF bookda4ab67a-9ba7-43f3-9ae5-116deaf57888 \r \h">
              <w:r>
                <w:t>6.1.2.5</w:t>
              </w:r>
            </w:fldSimple>
            <w:r>
              <w:t xml:space="preserve">) that is defined in the </w:t>
            </w:r>
            <w:hyperlink r:id="rId20">
              <w:r>
                <w:rPr>
                  <w:rStyle w:val="Hyperlink"/>
                </w:rPr>
                <w:t>VML</w:t>
              </w:r>
            </w:hyperlink>
            <w:r>
              <w:t xml:space="preserve"> namespace.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gradientRadial</w:t>
            </w:r>
            <w:r>
              <w:t xml:space="preserve"> (Radial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colors blend together in a radial gradient.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495300"/>
                  <wp:effectExtent b="-1524" r="-1524" t="0" l="0"/>
                  <wp:docPr name="Picture 10" id="166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gradientUnscaled</w:t>
            </w:r>
            <w:r>
              <w:t xml:space="preserve"> (Unscaled Gradient)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gradient angle is not scaled relative to the aspect ratio of the shape.</w:t>
            </w:r>
          </w:p>
          <w:p w:rsidRDefault="007C1B30" w:rsidP="002E5918" w:rsidR="007C1B30"/>
          <w:p w:rsidRDefault="007C1B30" w:rsidP="002E5918" w:rsidR="007C1B30">
            <w:r>
              <w:t>For example, the shapes below are twice as wide as they are tall.  The first shape uses an unscaled gradient and the second uses a regular scaled gradient: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952500"/>
                  <wp:effectExtent b="-1524" r="-1524" t="0" l="0"/>
                  <wp:docPr name="Picture 3" id="1802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Default="007C1B30" w:rsidP="002E5918" w:rsidR="007C1B30">
            <w:r>
              <w:drawing>
                <wp:inline distR="0" distL="0" distB="0" distT="0">
                  <wp:extent cy="495300" cx="952500"/>
                  <wp:effectExtent b="-1524" r="-1524" t="0" l="0"/>
                  <wp:docPr name="Picture 5" id="136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95300" cx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pattern</w:t>
            </w:r>
            <w:r>
              <w:t xml:space="preserve"> (Image Pattern)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is used to create a pattern using 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colors.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0" id="9850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solid</w:t>
            </w:r>
            <w:r>
              <w:t xml:space="preserve"> (Solid Fill)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pattern is a solid color.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3" id="6262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tile</w:t>
            </w:r>
            <w:r>
              <w:t xml:space="preserve"> (Tiled 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18">
              <w:r>
                <w:rPr>
                  <w:rStyle w:val="Hyperlink"/>
                </w:rPr>
                <w:t>fill</w:t>
              </w:r>
            </w:hyperlink>
            <w:r>
              <w:t xml:space="preserve">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is tiled.</w:t>
            </w:r>
          </w:p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42" id="9176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fill@type</w:t>
            </w:r>
            <w:r>
              <w:t xml:space="preserve"> (§</w:t>
            </w:r>
            <w:fldSimple w:instr="REF book891f15a1-581b-4ee9-834f-ccea18ea3dd1 \r \h">
              <w:r>
                <w:t>6.2.2.12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</w:t>
      </w:r>
      <w:hyperlink r:id="rId16">
        <w:r>
          <w:rPr>
            <w:rStyle w:val="Hyperlink"/>
          </w:rPr>
          <w:t>ST_FillType</w:t>
        </w:r>
      </w:hyperlink>
      <w:r>
        <w:t>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value="gradientCenter"/&gt;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value="pattern"/&gt;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value="tile"/&gt;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value="gradientUnscaled"/&gt;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value="gradientRadial"/&gt;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value="gradient"/&gt;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background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7.png"></Relationship><Relationship Id="rId9" Type="http://schemas.openxmlformats.org/officeDocument/2006/relationships/image" Target="media/image9.emf"></Relationship><Relationship Id="rId10" Type="http://schemas.openxmlformats.org/officeDocument/2006/relationships/image" Target="media/image197.png"></Relationship><Relationship Id="rId11" Type="http://schemas.openxmlformats.org/officeDocument/2006/relationships/image" Target="media/image198.png"></Relationship><Relationship Id="rId12" Type="http://schemas.openxmlformats.org/officeDocument/2006/relationships/image" Target="media/image199.png"></Relationship><Relationship Id="rId13" Type="http://schemas.openxmlformats.org/officeDocument/2006/relationships/image" Target="media/image28.emf"></Relationship><Relationship Id="rId14" Type="http://schemas.openxmlformats.org/officeDocument/2006/relationships/image" Target="media/image24.emf"></Relationship><Relationship Id="rId15" Type="http://schemas.openxmlformats.org/officeDocument/2006/relationships/image" Target="media/image26.emf"></Relationship><Relationship Id="rId16" Type="http://schemas.openxmlformats.org/officeDocument/2006/relationships/hyperlink" Target="ST_FillType.docx" TargetMode="External"/><Relationship Id="rId17" Type="http://schemas.openxmlformats.org/officeDocument/2006/relationships/hyperlink" Target="background.docx" TargetMode="External"/><Relationship Id="rId18" Type="http://schemas.openxmlformats.org/officeDocument/2006/relationships/hyperlink" Target="fill.docx" TargetMode="External"/><Relationship Id="rId19" Type="http://schemas.openxmlformats.org/officeDocument/2006/relationships/hyperlink" Target="image.docx" TargetMode="External"/><Relationship Id="rId20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