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96_1" w:id="100001"/>
      <w:bookmarkStart w:name="book53ebb170-9131-4b9c-90a6-18faa43a4b0a_1" w:id="100002"/>
      <w:r>
        <w:t>ST_EditAs</w:t>
      </w:r>
      <w:r>
        <w:t xml:space="preserve"> (Shape Grouping Types)</w:t>
      </w:r>
      <w:bookmarkEnd w:id="100001"/>
    </w:p>
    <w:bookmarkEnd w:id="100002"/>
    <w:p w:rsidRDefault="007C1B30" w:rsidP="007C1B30" w:rsidR="007C1B30">
      <w:r>
        <w:t xml:space="preserve">This simple type specifies the different meanings of a </w:t>
      </w:r>
      <w:hyperlink r:id="rId8">
        <w:r>
          <w:rPr>
            <w:rStyle w:val="Hyperlink"/>
          </w:rPr>
          <w:t>group</w:t>
        </w:r>
      </w:hyperlink>
      <w:r>
        <w:t xml:space="preserve"> of shapes.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bullseye</w:t>
            </w:r>
            <w:r>
              <w:t xml:space="preserve"> (Bullseye Diagram)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represents a bulls-eye diagram.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canvas</w:t>
            </w:r>
            <w:r>
              <w:t xml:space="preserve"> (Shape Canvas)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is a regular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and does not represent a diagram.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cycle</w:t>
            </w:r>
            <w:r>
              <w:t xml:space="preserve"> (Cycle Diagram)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represents a cycle diagram.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orgchart</w:t>
            </w:r>
            <w:r>
              <w:t xml:space="preserve"> (Organization Chart Diagram)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represents an organization chart.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radial</w:t>
            </w:r>
            <w:r>
              <w:t xml:space="preserve"> (Radial Diagram)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represents a radial diagram.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stacked</w:t>
            </w:r>
            <w:r>
              <w:t xml:space="preserve"> (Pyramid Diagram)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represents a pyramid diagram.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venn</w:t>
            </w:r>
            <w:r>
              <w:t xml:space="preserve"> (Venn Diagram)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represents a Venn diagram.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group@editas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name="ST_EditAs"&gt;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value="canvas"/&gt;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value="orgchart"/&gt;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value="radial"/&gt;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value="cycle"/&gt;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value="stacked"/&gt;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value="venn"/&gt;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value="bullseye"/&gt;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