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980_1" w:id="100001"/>
      <w:bookmarkStart w:name="bookbe4e70ef-b586-4545-9d30-368b968260b9_1" w:id="100002"/>
      <w:r>
        <w:t>textPr</w:t>
      </w:r>
      <w:r>
        <w:t xml:space="preserve"> (Text Import Settings)</w:t>
      </w:r>
      <w:bookmarkEnd w:id="100001"/>
    </w:p>
    <w:bookmarkEnd w:id="100002"/>
    <w:p w:rsidRDefault="008B2896" w:rsidP="008B2896" w:rsidR="008B2896">
      <w:r>
        <w:t>This element contains all of the text import settings.</w:t>
      </w:r>
    </w:p>
    <w:p w:rsidRDefault="008B2896" w:rsidP="008B2896" w:rsidR="008B2896">
      <w:r>
        <w:t>Here's an example of the XML for a text connection:</w:t>
      </w:r>
    </w:p>
    <w:p w:rsidRDefault="008B2896" w:rsidP="008B2896" w:rsidR="008B2896">
      <w:pPr>
        <w:rPr>
          <w:rStyle w:val="Non-normativeBracket"/>
        </w:rPr>
      </w:pPr>
      <w:r>
        <w:t>[</w:t>
      </w:r>
      <w:r>
        <w:t>Example</w:t>
      </w:r>
      <w:r>
        <w:t>:</w:t>
      </w:r>
    </w:p>
    <w:p w:rsidRDefault="008B2896" w:rsidP="008B2896" w:rsidR="008B2896">
      <w:pPr>
        <w:pStyle w:val="c"/>
      </w:pPr>
      <w:r>
        <w:t>&lt;</w:t>
      </w:r>
      <w:hyperlink r:id="rId8">
        <w:r>
          <w:rPr>
            <w:rStyle w:val="Hyperlink"/>
          </w:rPr>
          <w:t>connection</w:t>
        </w:r>
      </w:hyperlink>
      <w:r>
        <w:t xml:space="preserve"> id="1" name="text data" type="6" refreshedVersion="3" background="1"</w:t>
      </w:r>
      <w:r>
        <w:br/>
      </w:r>
      <w:r>
        <w:t xml:space="preserve">  saveData="1"&gt;</w:t>
      </w:r>
      <w:r>
        <w:br/>
      </w:r>
      <w:r>
        <w:t xml:space="preserve">  &lt;textPr prompt="0" codePage="437" sourceFile="C:\Desktop\text data.txt" </w:t>
      </w:r>
      <w:r>
        <w:br/>
      </w:r>
      <w:r>
        <w:t xml:space="preserve">    delimiter="|"&gt;</w:t>
      </w:r>
    </w:p>
    <w:p w:rsidRDefault="008B2896" w:rsidP="008B2896" w:rsidR="008B2896">
      <w:pPr>
        <w:pStyle w:val="c"/>
      </w:pPr>
      <w:r>
        <w:t xml:space="preserve">    &lt;</w:t>
      </w:r>
      <w:hyperlink r:id="rId9">
        <w:r>
          <w:rPr>
            <w:rStyle w:val="Hyperlink"/>
          </w:rPr>
          <w:t>textFields</w:t>
        </w:r>
      </w:hyperlink>
      <w:r>
        <w:t xml:space="preserve"> count="5"&gt;</w:t>
      </w:r>
      <w:r>
        <w:br/>
      </w:r>
      <w:r>
        <w:t xml:space="preserve">      &lt;</w:t>
      </w:r>
      <w:hyperlink r:id="rId10">
        <w:r>
          <w:rPr>
            <w:rStyle w:val="Hyperlink"/>
          </w:rPr>
          <w:t>textField</w:t>
        </w:r>
      </w:hyperlink>
      <w:r>
        <w:t>/&gt;</w:t>
      </w:r>
      <w:r>
        <w:br/>
      </w:r>
      <w:r>
        <w:t xml:space="preserve">      &lt;</w:t>
      </w:r>
      <w:hyperlink r:id="rId10">
        <w:r>
          <w:rPr>
            <w:rStyle w:val="Hyperlink"/>
          </w:rPr>
          <w:t>textField</w:t>
        </w:r>
      </w:hyperlink>
      <w:r>
        <w:t xml:space="preserve"> type="text" position="7"/&gt;</w:t>
      </w:r>
      <w:r>
        <w:br/>
      </w:r>
      <w:r>
        <w:t xml:space="preserve">      &lt;</w:t>
      </w:r>
      <w:hyperlink r:id="rId10">
        <w:r>
          <w:rPr>
            <w:rStyle w:val="Hyperlink"/>
          </w:rPr>
          <w:t>textField</w:t>
        </w:r>
      </w:hyperlink>
      <w:r>
        <w:t xml:space="preserve"> type="text" position="28"/&gt;</w:t>
      </w:r>
      <w:r>
        <w:br/>
      </w:r>
      <w:r>
        <w:t xml:space="preserve">      &lt;</w:t>
      </w:r>
      <w:hyperlink r:id="rId10">
        <w:r>
          <w:rPr>
            <w:rStyle w:val="Hyperlink"/>
          </w:rPr>
          <w:t>textField</w:t>
        </w:r>
      </w:hyperlink>
      <w:r>
        <w:t xml:space="preserve"> position="36"/&gt;</w:t>
      </w:r>
      <w:r>
        <w:br/>
      </w:r>
      <w:r>
        <w:t xml:space="preserve">      &lt;</w:t>
      </w:r>
      <w:hyperlink r:id="rId10">
        <w:r>
          <w:rPr>
            <w:rStyle w:val="Hyperlink"/>
          </w:rPr>
          <w:t>textField</w:t>
        </w:r>
      </w:hyperlink>
      <w:r>
        <w:t xml:space="preserve"> type="text" position="41"/&gt;</w:t>
      </w:r>
      <w:r>
        <w:br/>
      </w:r>
      <w:r>
        <w:t xml:space="preserve">    &lt;/</w:t>
      </w:r>
      <w:hyperlink r:id="rId9">
        <w:r>
          <w:rPr>
            <w:rStyle w:val="Hyperlink"/>
          </w:rPr>
          <w:t>textFields</w:t>
        </w:r>
      </w:hyperlink>
      <w:r>
        <w:t>&gt;</w:t>
      </w:r>
      <w:r>
        <w:br/>
      </w:r>
      <w:r>
        <w:t xml:space="preserve">  &lt;/textPr&gt;</w:t>
      </w:r>
      <w:r>
        <w:br/>
      </w:r>
      <w:r>
        <w:t>&lt;/</w:t>
      </w:r>
      <w:hyperlink r:id="rId8">
        <w:r>
          <w:rPr>
            <w:rStyle w:val="Hyperlink"/>
          </w:rPr>
          <w:t>connection</w:t>
        </w:r>
      </w:hyperlink>
      <w:r>
        <w:t>&gt;</w:t>
      </w:r>
    </w:p>
    <w:p w:rsidRDefault="008B2896" w:rsidP="008B2896" w:rsidR="008B2896">
      <w:r>
        <w:t>example]</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8">
              <w:r>
                <w:rPr>
                  <w:rStyle w:val="Hyperlink"/>
                </w:rPr>
                <w:t>connection</w:t>
              </w:r>
            </w:hyperlink>
            <w:r>
              <w:t/>
            </w:r>
            <w:r>
              <w:t xml:space="preserve"> (§</w:t>
            </w:r>
            <w:fldSimple w:instr="REF book4302d832-7f4e-4103-b12c-f2523e289e85 \r \h">
              <w:r>
                <w:t>3.13.1</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9">
              <w:r>
                <w:rPr>
                  <w:rStyle w:val="Hyperlink"/>
                </w:rPr>
                <w:t>textFields</w:t>
              </w:r>
            </w:hyperlink>
            <w:r>
              <w:t/>
            </w:r>
            <w:r>
              <w:t xml:space="preserve"> (Fields)</w:t>
            </w:r>
          </w:p>
        </w:tc>
        <w:tc>
          <w:tcPr>
            <w:tcW w:type="pct" w:w="500"/>
          </w:tcPr>
          <w:p w:rsidRDefault="008B2896" w:rsidP="002E5918" w:rsidR="008B2896">
            <w:r>
              <w:t>§</w:t>
            </w:r>
            <w:fldSimple w:instr="REF bookd3d1298b-373b-404b-a83f-3b68fca4d978 \r \h">
              <w:r>
                <w:t>3.13.11</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codePage</w:t>
            </w:r>
            <w:r>
              <w:t xml:space="preserve"> (Code Page)</w:t>
            </w:r>
          </w:p>
        </w:tc>
        <w:tc>
          <w:tcPr>
            <w:tcW w:type="pct" w:w="4000"/>
          </w:tcPr>
          <w:p w:rsidRDefault="008B2896" w:rsidP="002E5918" w:rsidR="008B2896">
            <w:r>
              <w:t xml:space="preserve">Code </w:t>
            </w:r>
            <w:hyperlink r:id="rId11">
              <w:r>
                <w:rPr>
                  <w:rStyle w:val="Hyperlink"/>
                </w:rPr>
                <w:t>page</w:t>
              </w:r>
            </w:hyperlink>
            <w:r>
              <w:t xml:space="preserve"> associated with the text file.</w:t>
            </w:r>
          </w:p>
          <w:p w:rsidRDefault="008B2896" w:rsidP="002E5918" w:rsidR="008B2896"/>
          <w:p w:rsidRDefault="008B2896" w:rsidP="002E5918" w:rsidR="008B2896">
            <w:r>
              <w:t>[</w:t>
            </w:r>
            <w:r>
              <w:t>Example</w:t>
            </w:r>
            <w:r>
              <w:t>:s of supported values include:</w:t>
            </w:r>
          </w:p>
          <w:p w:rsidRDefault="008B2896" w:rsidP="002E5918" w:rsidR="008B2896">
            <w:r>
              <w:t>1256</w:t>
            </w:r>
            <w:r>
              <w:t>: Arabic (Windows)</w:t>
            </w:r>
          </w:p>
          <w:p w:rsidRDefault="008B2896" w:rsidP="002E5918" w:rsidR="008B2896">
            <w:r>
              <w:t>775</w:t>
            </w:r>
            <w:r>
              <w:t>: Baltic (DOS)</w:t>
            </w:r>
          </w:p>
          <w:p w:rsidRDefault="008B2896" w:rsidP="002E5918" w:rsidR="008B2896">
            <w:r>
              <w:t>28594</w:t>
            </w:r>
            <w:r>
              <w:t>: Baltic (ISO)</w:t>
            </w:r>
          </w:p>
          <w:p w:rsidRDefault="008B2896" w:rsidP="002E5918" w:rsidR="008B2896">
            <w:pPr>
              <w:rPr>
                <w:lang w:val="es-ES_tradnl"/>
              </w:rPr>
            </w:pPr>
            <w:r>
              <w:t>1257</w:t>
            </w:r>
            <w:r>
              <w:t>: Baltic (Windows)</w:t>
            </w:r>
          </w:p>
          <w:p w:rsidRDefault="008B2896" w:rsidP="002E5918" w:rsidR="008B2896">
            <w:pPr>
              <w:rPr>
                <w:lang w:val="es-ES_tradnl"/>
              </w:rPr>
            </w:pPr>
            <w:r>
              <w:t>852</w:t>
            </w:r>
            <w:r>
              <w:t>: Central European (DOS)</w:t>
            </w:r>
          </w:p>
          <w:p w:rsidRDefault="008B2896" w:rsidP="002E5918" w:rsidR="008B2896">
            <w:pPr>
              <w:rPr>
                <w:lang w:val="es-ES_tradnl"/>
              </w:rPr>
            </w:pPr>
            <w:r>
              <w:t>28592</w:t>
            </w:r>
            <w:r>
              <w:t>: Central European (ISO)</w:t>
            </w:r>
          </w:p>
          <w:p w:rsidRDefault="008B2896" w:rsidP="002E5918" w:rsidR="008B2896">
            <w:r>
              <w:t>10029</w:t>
            </w:r>
            <w:r>
              <w:t>: Central European (Mac)</w:t>
            </w:r>
          </w:p>
          <w:p w:rsidRDefault="008B2896" w:rsidP="002E5918" w:rsidR="008B2896">
            <w:r>
              <w:t>1250</w:t>
            </w:r>
            <w:r>
              <w:t>: Central European (Windows)</w:t>
            </w:r>
          </w:p>
          <w:p w:rsidRDefault="008B2896" w:rsidP="002E5918" w:rsidR="008B2896">
            <w:r>
              <w:t>936</w:t>
            </w:r>
            <w:r>
              <w:t>: Chinese Simplified (GB2312)</w:t>
            </w:r>
          </w:p>
          <w:p w:rsidRDefault="008B2896" w:rsidP="002E5918" w:rsidR="008B2896">
            <w:r>
              <w:t>950</w:t>
            </w:r>
            <w:r>
              <w:t>: Chinese Traditional (Big5)</w:t>
            </w:r>
          </w:p>
          <w:p w:rsidRDefault="008B2896" w:rsidP="002E5918" w:rsidR="008B2896">
            <w:r>
              <w:t>10082</w:t>
            </w:r>
            <w:r>
              <w:t>: Croatian (Mac)</w:t>
            </w:r>
          </w:p>
          <w:p w:rsidRDefault="008B2896" w:rsidP="002E5918" w:rsidR="008B2896">
            <w:r>
              <w:t>866</w:t>
            </w:r>
            <w:r>
              <w:t>: Cyrillic (DOS)</w:t>
            </w:r>
          </w:p>
          <w:p w:rsidRDefault="008B2896" w:rsidP="002E5918" w:rsidR="008B2896">
            <w:r>
              <w:t>28595</w:t>
            </w:r>
            <w:r>
              <w:t>: Cyrillic (ISO)</w:t>
            </w:r>
          </w:p>
          <w:p w:rsidRDefault="008B2896" w:rsidP="002E5918" w:rsidR="008B2896">
            <w:r>
              <w:t>20866</w:t>
            </w:r>
            <w:r>
              <w:t>: Cyrillic (KOI8-R)</w:t>
            </w:r>
          </w:p>
          <w:p w:rsidRDefault="008B2896" w:rsidP="002E5918" w:rsidR="008B2896">
            <w:r>
              <w:t>21866</w:t>
            </w:r>
            <w:r>
              <w:t>: Cyrillic (KOI8-U)</w:t>
            </w:r>
          </w:p>
          <w:p w:rsidRDefault="008B2896" w:rsidP="002E5918" w:rsidR="008B2896">
            <w:r>
              <w:t>10007</w:t>
            </w:r>
            <w:r>
              <w:t>: Cyrillic (Mac)</w:t>
            </w:r>
          </w:p>
          <w:p w:rsidRDefault="008B2896" w:rsidP="002E5918" w:rsidR="008B2896">
            <w:r>
              <w:t>1251</w:t>
            </w:r>
            <w:r>
              <w:t>: Cyrillic (Windows)</w:t>
            </w:r>
          </w:p>
          <w:p w:rsidRDefault="008B2896" w:rsidP="002E5918" w:rsidR="008B2896">
            <w:r>
              <w:t>28603</w:t>
            </w:r>
            <w:r>
              <w:t>: Estonian (ISO)</w:t>
            </w:r>
          </w:p>
          <w:p w:rsidRDefault="008B2896" w:rsidP="002E5918" w:rsidR="008B2896">
            <w:r>
              <w:t>863</w:t>
            </w:r>
            <w:r>
              <w:t>: French Canadian (DOC)</w:t>
            </w:r>
          </w:p>
          <w:p w:rsidRDefault="008B2896" w:rsidP="002E5918" w:rsidR="008B2896">
            <w:r>
              <w:t>737</w:t>
            </w:r>
            <w:r>
              <w:t>: Greek (DOS)</w:t>
            </w:r>
          </w:p>
          <w:p w:rsidRDefault="008B2896" w:rsidP="002E5918" w:rsidR="008B2896">
            <w:r>
              <w:t>28597</w:t>
            </w:r>
            <w:r>
              <w:t>: Greek (ISO)</w:t>
            </w:r>
          </w:p>
          <w:p w:rsidRDefault="008B2896" w:rsidP="002E5918" w:rsidR="008B2896">
            <w:r>
              <w:t>10006</w:t>
            </w:r>
            <w:r>
              <w:t>: Greek (Mac)</w:t>
            </w:r>
          </w:p>
          <w:p w:rsidRDefault="008B2896" w:rsidP="002E5918" w:rsidR="008B2896">
            <w:r>
              <w:t>1253</w:t>
            </w:r>
            <w:r>
              <w:t>: Greek (Windows)</w:t>
            </w:r>
          </w:p>
          <w:p w:rsidRDefault="008B2896" w:rsidP="002E5918" w:rsidR="008B2896">
            <w:r>
              <w:t>869</w:t>
            </w:r>
            <w:r>
              <w:t>: Greek, Modern (DOS)</w:t>
            </w:r>
          </w:p>
          <w:p w:rsidRDefault="008B2896" w:rsidP="002E5918" w:rsidR="008B2896">
            <w:r>
              <w:t>1255</w:t>
            </w:r>
            <w:r>
              <w:t>: Hebrew (Windows)</w:t>
            </w:r>
          </w:p>
          <w:p w:rsidRDefault="008B2896" w:rsidP="002E5918" w:rsidR="008B2896">
            <w:r>
              <w:t>861</w:t>
            </w:r>
            <w:r>
              <w:t>: Icelandic (DOS)</w:t>
            </w:r>
          </w:p>
          <w:p w:rsidRDefault="008B2896" w:rsidP="002E5918" w:rsidR="008B2896">
            <w:r>
              <w:t>10079</w:t>
            </w:r>
            <w:r>
              <w:t>: Icelandic (Mac)</w:t>
            </w:r>
          </w:p>
          <w:p w:rsidRDefault="008B2896" w:rsidP="002E5918" w:rsidR="008B2896">
            <w:r>
              <w:t>932</w:t>
            </w:r>
            <w:r>
              <w:t>: Japanese (Shift-JIS)</w:t>
            </w:r>
          </w:p>
          <w:p w:rsidRDefault="008B2896" w:rsidP="002E5918" w:rsidR="008B2896">
            <w:r>
              <w:t>949</w:t>
            </w:r>
            <w:r>
              <w:t>: Korean</w:t>
            </w:r>
          </w:p>
          <w:p w:rsidRDefault="008B2896" w:rsidP="002E5918" w:rsidR="008B2896">
            <w:r>
              <w:t>1361</w:t>
            </w:r>
            <w:r>
              <w:t>: Korean (Johab)</w:t>
            </w:r>
          </w:p>
          <w:p w:rsidRDefault="008B2896" w:rsidP="002E5918" w:rsidR="008B2896">
            <w:r>
              <w:t>28605</w:t>
            </w:r>
            <w:r>
              <w:t>: Latin 9 (ISO)</w:t>
            </w:r>
          </w:p>
          <w:p w:rsidRDefault="008B2896" w:rsidP="002E5918" w:rsidR="008B2896">
            <w:r>
              <w:t>865</w:t>
            </w:r>
            <w:r>
              <w:t>: Nordic (DOS)</w:t>
            </w:r>
          </w:p>
          <w:p w:rsidRDefault="008B2896" w:rsidP="002E5918" w:rsidR="008B2896">
            <w:r>
              <w:t>855</w:t>
            </w:r>
            <w:r>
              <w:t>: OEM Cyrillic</w:t>
            </w:r>
          </w:p>
          <w:p w:rsidRDefault="008B2896" w:rsidP="002E5918" w:rsidR="008B2896">
            <w:r>
              <w:t>437</w:t>
            </w:r>
            <w:r>
              <w:t>: OEM United States</w:t>
            </w:r>
          </w:p>
          <w:p w:rsidRDefault="008B2896" w:rsidP="002E5918" w:rsidR="008B2896">
            <w:pPr>
              <w:rPr>
                <w:lang w:val="es-ES_tradnl"/>
              </w:rPr>
            </w:pPr>
            <w:r>
              <w:t>860</w:t>
            </w:r>
            <w:r>
              <w:t>: Portuguese (DOS)</w:t>
            </w:r>
          </w:p>
          <w:p w:rsidRDefault="008B2896" w:rsidP="002E5918" w:rsidR="008B2896">
            <w:pPr>
              <w:rPr>
                <w:lang w:val="es-ES_tradnl"/>
              </w:rPr>
            </w:pPr>
            <w:r>
              <w:t>10010</w:t>
            </w:r>
            <w:r>
              <w:t>: Romanian (Mac)</w:t>
            </w:r>
          </w:p>
          <w:p w:rsidRDefault="008B2896" w:rsidP="002E5918" w:rsidR="008B2896">
            <w:pPr>
              <w:rPr>
                <w:lang w:val="es-ES_tradnl"/>
              </w:rPr>
            </w:pPr>
            <w:r>
              <w:t>20261</w:t>
            </w:r>
            <w:r>
              <w:t>: T.61</w:t>
            </w:r>
          </w:p>
          <w:p w:rsidRDefault="008B2896" w:rsidP="002E5918" w:rsidR="008B2896">
            <w:r>
              <w:t>874</w:t>
            </w:r>
            <w:r>
              <w:t>: Thai (Windows)</w:t>
            </w:r>
          </w:p>
          <w:p w:rsidRDefault="008B2896" w:rsidP="002E5918" w:rsidR="008B2896">
            <w:r>
              <w:t>857</w:t>
            </w:r>
            <w:r>
              <w:t>: Turkish (DOS)</w:t>
            </w:r>
          </w:p>
          <w:p w:rsidRDefault="008B2896" w:rsidP="002E5918" w:rsidR="008B2896">
            <w:r>
              <w:t>28599</w:t>
            </w:r>
            <w:r>
              <w:t>: Turkish (ISO)</w:t>
            </w:r>
          </w:p>
          <w:p w:rsidRDefault="008B2896" w:rsidP="002E5918" w:rsidR="008B2896">
            <w:r>
              <w:t>10081</w:t>
            </w:r>
            <w:r>
              <w:t>: Turkish (Mac)</w:t>
            </w:r>
          </w:p>
          <w:p w:rsidRDefault="008B2896" w:rsidP="002E5918" w:rsidR="008B2896">
            <w:r>
              <w:t>1254</w:t>
            </w:r>
            <w:r>
              <w:t>: Turkish (Windows)</w:t>
            </w:r>
          </w:p>
          <w:p w:rsidRDefault="008B2896" w:rsidP="002E5918" w:rsidR="008B2896">
            <w:r>
              <w:t>10017</w:t>
            </w:r>
            <w:r>
              <w:t>: Ukrainian (Mac)</w:t>
            </w:r>
          </w:p>
          <w:p w:rsidRDefault="008B2896" w:rsidP="002E5918" w:rsidR="008B2896">
            <w:r>
              <w:t>65000</w:t>
            </w:r>
            <w:r>
              <w:t>: Unicode (UTF-7)</w:t>
            </w:r>
          </w:p>
          <w:p w:rsidRDefault="008B2896" w:rsidP="002E5918" w:rsidR="008B2896">
            <w:r>
              <w:t>65001</w:t>
            </w:r>
            <w:r>
              <w:t>: Unicode (UTF-8)</w:t>
            </w:r>
          </w:p>
          <w:p w:rsidRDefault="008B2896" w:rsidP="002E5918" w:rsidR="008B2896">
            <w:r>
              <w:t>20127</w:t>
            </w:r>
            <w:r>
              <w:t>: US-ASCII</w:t>
            </w:r>
          </w:p>
          <w:p w:rsidRDefault="008B2896" w:rsidP="002E5918" w:rsidR="008B2896">
            <w:r>
              <w:t>1258</w:t>
            </w:r>
            <w:r>
              <w:t>: Vietnamese (Windows)</w:t>
            </w:r>
          </w:p>
          <w:p w:rsidRDefault="008B2896" w:rsidP="002E5918" w:rsidR="008B2896">
            <w:r>
              <w:t>850</w:t>
            </w:r>
            <w:r>
              <w:t>: Western European (DOS)</w:t>
            </w:r>
          </w:p>
          <w:p w:rsidRDefault="008B2896" w:rsidP="002E5918" w:rsidR="008B2896">
            <w:r>
              <w:t>28591</w:t>
            </w:r>
            <w:r>
              <w:t>: Western European (ISO)</w:t>
            </w:r>
          </w:p>
          <w:p w:rsidRDefault="008B2896" w:rsidP="002E5918" w:rsidR="008B2896">
            <w:r>
              <w:t>10000</w:t>
            </w:r>
            <w:r>
              <w:t>: Western European (Mac)</w:t>
            </w:r>
          </w:p>
          <w:p w:rsidRDefault="008B2896" w:rsidP="002E5918" w:rsidR="008B2896">
            <w:r>
              <w:t>1252</w:t>
            </w:r>
            <w:r>
              <w:t>: Western European (Windows)</w:t>
            </w:r>
          </w:p>
          <w:p w:rsidRDefault="008B2896" w:rsidP="002E5918" w:rsidR="008B2896"/>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comma</w:t>
            </w:r>
            <w:r>
              <w:t xml:space="preserve"> (Comma </w:t>
            </w:r>
            <w:hyperlink r:id="rId13">
              <w:r>
                <w:rPr>
                  <w:rStyle w:val="Hyperlink"/>
                </w:rPr>
                <w:t>is</w:t>
              </w:r>
            </w:hyperlink>
            <w:r>
              <w:t xml:space="preserve"> Delimiter)</w:t>
            </w:r>
          </w:p>
        </w:tc>
        <w:tc>
          <w:tcPr>
            <w:tcW w:type="pct" w:w="4000"/>
          </w:tcPr>
          <w:p w:rsidRDefault="008B2896" w:rsidP="002E5918" w:rsidR="008B2896">
            <w:r>
              <w:t xml:space="preserve">Flag indicating whether to treat comma characters as </w:t>
            </w:r>
            <w:hyperlink r:id="rId14">
              <w:r>
                <w:rPr>
                  <w:rStyle w:val="Hyperlink"/>
                </w:rPr>
                <w:t>field</w:t>
              </w:r>
            </w:hyperlink>
            <w:r>
              <w:t xml:space="preserve"> delimiters.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consecutive</w:t>
            </w:r>
            <w:r>
              <w:t xml:space="preserve"> (Consecutive Delimiters)</w:t>
            </w:r>
          </w:p>
        </w:tc>
        <w:tc>
          <w:tcPr>
            <w:tcW w:type="pct" w:w="4000"/>
          </w:tcPr>
          <w:p w:rsidRDefault="008B2896" w:rsidP="002E5918" w:rsidR="008B2896">
            <w:r>
              <w:t xml:space="preserve">Flag indicating whether consecutive delimiters should be treated as just one delimiter.  If this flag is </w:t>
            </w:r>
            <w:r>
              <w:t>true</w:t>
            </w:r>
            <w:r>
              <w:t xml:space="preserve"> than it's possible or even likely that some rows will return more fields than others, and these fields will always </w:t>
            </w:r>
            <w:hyperlink r:id="rId15">
              <w:r>
                <w:rPr>
                  <w:rStyle w:val="Hyperlink"/>
                </w:rPr>
                <w:t>fill</w:t>
              </w:r>
            </w:hyperlink>
            <w:r>
              <w:t xml:space="preserve"> cells in the </w:t>
            </w:r>
            <w:hyperlink r:id="rId16">
              <w:r>
                <w:rPr>
                  <w:rStyle w:val="Hyperlink"/>
                </w:rPr>
                <w:t>worksheet</w:t>
              </w:r>
            </w:hyperlink>
            <w:r>
              <w:t xml:space="preserve"> from left to right.</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decimal</w:t>
            </w:r>
            <w:r>
              <w:t xml:space="preserve"> (Decimal Separator)</w:t>
            </w:r>
          </w:p>
        </w:tc>
        <w:tc>
          <w:tcPr>
            <w:tcW w:type="pct" w:w="4000"/>
          </w:tcPr>
          <w:p w:rsidRDefault="008B2896" w:rsidP="002E5918" w:rsidR="008B2896">
            <w:r>
              <w:t xml:space="preserve">The decimal separator character. This and the </w:t>
            </w:r>
            <w:r>
              <w:t>thousands</w:t>
            </w:r>
            <w:r>
              <w:t xml:space="preserve"> attribute are used only when data in the text file contains decimal and thousands separators that are different from those used on the computer, due to a different language setting being used.</w:t>
            </w:r>
          </w:p>
          <w:p w:rsidRDefault="008B2896" w:rsidP="002E5918" w:rsidR="008B2896"/>
          <w:p w:rsidRDefault="008B2896" w:rsidP="002E5918" w:rsidR="008B2896">
            <w:r>
              <w:t xml:space="preserve">The following </w:t>
            </w:r>
            <w:hyperlink r:id="rId17">
              <w:r>
                <w:rPr>
                  <w:rStyle w:val="Hyperlink"/>
                </w:rPr>
                <w:t>table</w:t>
              </w:r>
            </w:hyperlink>
            <w:r>
              <w:t xml:space="preserve"> shows the results when you import text into a spreadsheet application using various separators. Numeric results are displayed in the rightmost column.</w:t>
            </w:r>
          </w:p>
          <w:p w:rsidRDefault="008B2896" w:rsidP="002E5918" w:rsidR="008B2896"/>
          <w:tbl>
            <w:tblPr>
              <w:tblStyle w:val="IndentedElementTable"/>
              <w:tblW w:type="dxa" w:w="8413"/>
              <w:tblLayout w:type="fixed"/>
              <w:tblLook w:val="04A0" w:noVBand="1" w:noHBand="0" w:lastColumn="0" w:firstColumn="1" w:lastRow="0" w:firstRow="1"/>
            </w:tblPr>
            <w:tblGrid>
              <w:gridCol w:w="1112"/>
              <w:gridCol w:w="1163"/>
              <w:gridCol w:w="1098"/>
              <w:gridCol w:w="1170"/>
              <w:gridCol w:w="1530"/>
              <w:gridCol w:w="2340"/>
            </w:tblGrid>
            <w:tr w:rsidTr="002E5918" w:rsidR="008B2896" w:rsidRPr="007007A2">
              <w:trPr>
                <w:cnfStyle w:val="100000000000"/>
              </w:trPr>
              <w:tc>
                <w:tcPr>
                  <w:tcW w:type="dxa" w:w="1112"/>
                </w:tcPr>
                <w:p w:rsidRDefault="008B2896" w:rsidP="002E5918" w:rsidR="008B2896">
                  <w:r>
                    <w:t>System decimal separator</w:t>
                  </w:r>
                </w:p>
              </w:tc>
              <w:tc>
                <w:tcPr>
                  <w:tcW w:type="dxa" w:w="1163"/>
                </w:tcPr>
                <w:p w:rsidRDefault="008B2896" w:rsidP="002E5918" w:rsidR="008B2896">
                  <w:r>
                    <w:t>System thousands separator</w:t>
                  </w:r>
                </w:p>
              </w:tc>
              <w:tc>
                <w:tcPr>
                  <w:tcW w:type="dxa" w:w="1098"/>
                </w:tcPr>
                <w:p w:rsidRDefault="008B2896" w:rsidP="002E5918" w:rsidR="008B2896">
                  <w:r>
                    <w:t>Text file decimal separator value</w:t>
                  </w:r>
                </w:p>
              </w:tc>
              <w:tc>
                <w:tcPr>
                  <w:tcW w:type="dxa" w:w="1170"/>
                </w:tcPr>
                <w:p w:rsidRDefault="008B2896" w:rsidP="002E5918" w:rsidR="008B2896">
                  <w:r>
                    <w:t>Text file thousands Separator value</w:t>
                  </w:r>
                </w:p>
              </w:tc>
              <w:tc>
                <w:tcPr>
                  <w:tcW w:type="dxa" w:w="1530"/>
                </w:tcPr>
                <w:p w:rsidRDefault="008B2896" w:rsidP="002E5918" w:rsidR="008B2896">
                  <w:r>
                    <w:t>Text imported</w:t>
                  </w:r>
                </w:p>
              </w:tc>
              <w:tc>
                <w:tcPr>
                  <w:tcW w:type="dxa" w:w="2340"/>
                </w:tcPr>
                <w:p w:rsidRDefault="008B2896" w:rsidP="002E5918" w:rsidR="008B2896">
                  <w:r>
                    <w:t xml:space="preserve">Cell </w:t>
                  </w:r>
                  <w:hyperlink r:id="rId18">
                    <w:r>
                      <w:rPr>
                        <w:rStyle w:val="Hyperlink"/>
                      </w:rPr>
                      <w:t>value</w:t>
                    </w:r>
                  </w:hyperlink>
                  <w:r>
                    <w:t xml:space="preserve"> (data type)</w:t>
                  </w:r>
                </w:p>
              </w:tc>
            </w:tr>
            <w:tr w:rsidTr="002E5918" w:rsidR="008B2896" w:rsidRPr="007007A2">
              <w:tc>
                <w:tcPr>
                  <w:tcW w:type="dxa" w:w="1112"/>
                </w:tcPr>
                <w:p w:rsidRDefault="008B2896" w:rsidP="002E5918" w:rsidR="008B2896">
                  <w:r>
                    <w:t>Period</w:t>
                  </w:r>
                </w:p>
              </w:tc>
              <w:tc>
                <w:tcPr>
                  <w:tcW w:type="dxa" w:w="1163"/>
                </w:tcPr>
                <w:p w:rsidRDefault="008B2896" w:rsidP="002E5918" w:rsidR="008B2896">
                  <w:r>
                    <w:t>Comma</w:t>
                  </w:r>
                </w:p>
              </w:tc>
              <w:tc>
                <w:tcPr>
                  <w:tcW w:type="dxa" w:w="1098"/>
                </w:tcPr>
                <w:p w:rsidRDefault="008B2896" w:rsidP="002E5918" w:rsidR="008B2896">
                  <w:r>
                    <w:t>Comma</w:t>
                  </w:r>
                </w:p>
              </w:tc>
              <w:tc>
                <w:tcPr>
                  <w:tcW w:type="dxa" w:w="1170"/>
                </w:tcPr>
                <w:p w:rsidRDefault="008B2896" w:rsidP="002E5918" w:rsidR="008B2896">
                  <w:r>
                    <w:t>Period</w:t>
                  </w:r>
                </w:p>
              </w:tc>
              <w:tc>
                <w:tcPr>
                  <w:tcW w:type="dxa" w:w="1530"/>
                </w:tcPr>
                <w:p w:rsidRDefault="008B2896" w:rsidP="002E5918" w:rsidR="008B2896">
                  <w:r>
                    <w:t>123.123,45</w:t>
                  </w:r>
                </w:p>
              </w:tc>
              <w:tc>
                <w:tcPr>
                  <w:tcW w:type="dxa" w:w="2340"/>
                </w:tcPr>
                <w:p w:rsidRDefault="008B2896" w:rsidP="002E5918" w:rsidR="008B2896">
                  <w:r>
                    <w:t>123,123.45 (numeric)</w:t>
                  </w:r>
                </w:p>
              </w:tc>
            </w:tr>
            <w:tr w:rsidTr="002E5918" w:rsidR="008B2896" w:rsidRPr="007007A2">
              <w:tc>
                <w:tcPr>
                  <w:tcW w:type="dxa" w:w="1112"/>
                </w:tcPr>
                <w:p w:rsidRDefault="008B2896" w:rsidP="002E5918" w:rsidR="008B2896">
                  <w:r>
                    <w:t>Period</w:t>
                  </w:r>
                </w:p>
              </w:tc>
              <w:tc>
                <w:tcPr>
                  <w:tcW w:type="dxa" w:w="1163"/>
                </w:tcPr>
                <w:p w:rsidRDefault="008B2896" w:rsidP="002E5918" w:rsidR="008B2896">
                  <w:r>
                    <w:t>Comma</w:t>
                  </w:r>
                </w:p>
              </w:tc>
              <w:tc>
                <w:tcPr>
                  <w:tcW w:type="dxa" w:w="1098"/>
                </w:tcPr>
                <w:p w:rsidRDefault="008B2896" w:rsidP="002E5918" w:rsidR="008B2896">
                  <w:r>
                    <w:t>Comma</w:t>
                  </w:r>
                </w:p>
              </w:tc>
              <w:tc>
                <w:tcPr>
                  <w:tcW w:type="dxa" w:w="1170"/>
                </w:tcPr>
                <w:p w:rsidRDefault="008B2896" w:rsidP="002E5918" w:rsidR="008B2896">
                  <w:r>
                    <w:t>Comma</w:t>
                  </w:r>
                </w:p>
              </w:tc>
              <w:tc>
                <w:tcPr>
                  <w:tcW w:type="dxa" w:w="1530"/>
                </w:tcPr>
                <w:p w:rsidRDefault="008B2896" w:rsidP="002E5918" w:rsidR="008B2896">
                  <w:r>
                    <w:t>123.123,45</w:t>
                  </w:r>
                </w:p>
              </w:tc>
              <w:tc>
                <w:tcPr>
                  <w:tcW w:type="dxa" w:w="2340"/>
                </w:tcPr>
                <w:p w:rsidRDefault="008B2896" w:rsidP="002E5918" w:rsidR="008B2896">
                  <w:r>
                    <w:t>123.123,45 (text)</w:t>
                  </w:r>
                </w:p>
              </w:tc>
            </w:tr>
            <w:tr w:rsidTr="002E5918" w:rsidR="008B2896" w:rsidRPr="007007A2">
              <w:tc>
                <w:tcPr>
                  <w:tcW w:type="dxa" w:w="1112"/>
                </w:tcPr>
                <w:p w:rsidRDefault="008B2896" w:rsidP="002E5918" w:rsidR="008B2896">
                  <w:r>
                    <w:t>Comma</w:t>
                  </w:r>
                </w:p>
              </w:tc>
              <w:tc>
                <w:tcPr>
                  <w:tcW w:type="dxa" w:w="1163"/>
                </w:tcPr>
                <w:p w:rsidRDefault="008B2896" w:rsidP="002E5918" w:rsidR="008B2896">
                  <w:r>
                    <w:t>Period</w:t>
                  </w:r>
                </w:p>
              </w:tc>
              <w:tc>
                <w:tcPr>
                  <w:tcW w:type="dxa" w:w="1098"/>
                </w:tcPr>
                <w:p w:rsidRDefault="008B2896" w:rsidP="002E5918" w:rsidR="008B2896">
                  <w:r>
                    <w:t>Comma</w:t>
                  </w:r>
                </w:p>
              </w:tc>
              <w:tc>
                <w:tcPr>
                  <w:tcW w:type="dxa" w:w="1170"/>
                </w:tcPr>
                <w:p w:rsidRDefault="008B2896" w:rsidP="002E5918" w:rsidR="008B2896">
                  <w:r>
                    <w:t>Period</w:t>
                  </w:r>
                </w:p>
              </w:tc>
              <w:tc>
                <w:tcPr>
                  <w:tcW w:type="dxa" w:w="1530"/>
                </w:tcPr>
                <w:p w:rsidRDefault="008B2896" w:rsidP="002E5918" w:rsidR="008B2896">
                  <w:r>
                    <w:t>123,123.45</w:t>
                  </w:r>
                </w:p>
              </w:tc>
              <w:tc>
                <w:tcPr>
                  <w:tcW w:type="dxa" w:w="2340"/>
                </w:tcPr>
                <w:p w:rsidRDefault="008B2896" w:rsidP="002E5918" w:rsidR="008B2896">
                  <w:r>
                    <w:t>123,123.45 (numeric)</w:t>
                  </w:r>
                </w:p>
              </w:tc>
            </w:tr>
            <w:tr w:rsidTr="002E5918" w:rsidR="008B2896" w:rsidRPr="007007A2">
              <w:tc>
                <w:tcPr>
                  <w:tcW w:type="dxa" w:w="1112"/>
                </w:tcPr>
                <w:p w:rsidRDefault="008B2896" w:rsidP="002E5918" w:rsidR="008B2896">
                  <w:r>
                    <w:t>Period</w:t>
                  </w:r>
                </w:p>
              </w:tc>
              <w:tc>
                <w:tcPr>
                  <w:tcW w:type="dxa" w:w="1163"/>
                </w:tcPr>
                <w:p w:rsidRDefault="008B2896" w:rsidP="002E5918" w:rsidR="008B2896">
                  <w:r>
                    <w:t>Comma</w:t>
                  </w:r>
                </w:p>
              </w:tc>
              <w:tc>
                <w:tcPr>
                  <w:tcW w:type="dxa" w:w="1098"/>
                </w:tcPr>
                <w:p w:rsidRDefault="008B2896" w:rsidP="002E5918" w:rsidR="008B2896">
                  <w:r>
                    <w:t>Period</w:t>
                  </w:r>
                </w:p>
              </w:tc>
              <w:tc>
                <w:tcPr>
                  <w:tcW w:type="dxa" w:w="1170"/>
                </w:tcPr>
                <w:p w:rsidRDefault="008B2896" w:rsidP="002E5918" w:rsidR="008B2896">
                  <w:r>
                    <w:t>Comma</w:t>
                  </w:r>
                </w:p>
              </w:tc>
              <w:tc>
                <w:tcPr>
                  <w:tcW w:type="dxa" w:w="1530"/>
                </w:tcPr>
                <w:p w:rsidRDefault="008B2896" w:rsidP="002E5918" w:rsidR="008B2896">
                  <w:r>
                    <w:t>123 123.45</w:t>
                  </w:r>
                </w:p>
              </w:tc>
              <w:tc>
                <w:tcPr>
                  <w:tcW w:type="dxa" w:w="2340"/>
                </w:tcPr>
                <w:p w:rsidRDefault="008B2896" w:rsidP="002E5918" w:rsidR="008B2896">
                  <w:r>
                    <w:t>123 123.45 (text)</w:t>
                  </w:r>
                </w:p>
              </w:tc>
            </w:tr>
            <w:tr w:rsidTr="002E5918" w:rsidR="008B2896" w:rsidRPr="007007A2">
              <w:tc>
                <w:tcPr>
                  <w:tcW w:type="dxa" w:w="1112"/>
                </w:tcPr>
                <w:p w:rsidRDefault="008B2896" w:rsidP="002E5918" w:rsidR="008B2896">
                  <w:r>
                    <w:t>Period</w:t>
                  </w:r>
                </w:p>
              </w:tc>
              <w:tc>
                <w:tcPr>
                  <w:tcW w:type="dxa" w:w="1163"/>
                </w:tcPr>
                <w:p w:rsidRDefault="008B2896" w:rsidP="002E5918" w:rsidR="008B2896">
                  <w:r>
                    <w:t>Comma</w:t>
                  </w:r>
                </w:p>
              </w:tc>
              <w:tc>
                <w:tcPr>
                  <w:tcW w:type="dxa" w:w="1098"/>
                </w:tcPr>
                <w:p w:rsidRDefault="008B2896" w:rsidP="002E5918" w:rsidR="008B2896">
                  <w:r>
                    <w:t>Period</w:t>
                  </w:r>
                </w:p>
              </w:tc>
              <w:tc>
                <w:tcPr>
                  <w:tcW w:type="dxa" w:w="1170"/>
                </w:tcPr>
                <w:p w:rsidRDefault="008B2896" w:rsidP="002E5918" w:rsidR="008B2896">
                  <w:r>
                    <w:t>Space</w:t>
                  </w:r>
                </w:p>
              </w:tc>
              <w:tc>
                <w:tcPr>
                  <w:tcW w:type="dxa" w:w="1530"/>
                </w:tcPr>
                <w:p w:rsidRDefault="008B2896" w:rsidP="002E5918" w:rsidR="008B2896">
                  <w:r>
                    <w:t>123 123.45</w:t>
                  </w:r>
                </w:p>
              </w:tc>
              <w:tc>
                <w:tcPr>
                  <w:tcW w:type="dxa" w:w="2340"/>
                </w:tcPr>
                <w:p w:rsidRDefault="008B2896" w:rsidP="002E5918" w:rsidR="008B2896">
                  <w:r>
                    <w:t>123,123.45 (numeric)</w:t>
                  </w:r>
                </w:p>
              </w:tc>
            </w:tr>
          </w:tbl>
          <w:p w:rsidRDefault="008B2896" w:rsidP="002E5918" w:rsidR="008B2896"/>
          <w:p w:rsidRDefault="008B2896" w:rsidP="002E5918" w:rsidR="008B2896">
            <w:r>
              <w:t>Strings values of this attribute are expected to be one character in length.</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delimited</w:t>
            </w:r>
            <w:r>
              <w:t xml:space="preserve"> (Delimited File)</w:t>
            </w:r>
          </w:p>
        </w:tc>
        <w:tc>
          <w:tcPr>
            <w:tcW w:type="pct" w:w="4000"/>
          </w:tcPr>
          <w:p w:rsidRDefault="008B2896" w:rsidP="002E5918" w:rsidR="008B2896">
            <w:r>
              <w:t>true</w:t>
            </w:r>
            <w:r>
              <w:t xml:space="preserve"> if the file is Tab or character delimited.  </w:t>
            </w:r>
            <w:r>
              <w:t>false</w:t>
            </w:r>
            <w:r>
              <w:t xml:space="preserve"> if the file should be parsed according to fixed length fields.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delimiter</w:t>
            </w:r>
            <w:r>
              <w:t xml:space="preserve"> (Custom Delimiter)</w:t>
            </w:r>
          </w:p>
        </w:tc>
        <w:tc>
          <w:tcPr>
            <w:tcW w:type="pct" w:w="4000"/>
          </w:tcPr>
          <w:p w:rsidRDefault="008B2896" w:rsidP="002E5918" w:rsidR="008B2896">
            <w:r>
              <w:t xml:space="preserve">User-specified character to be treated as a </w:t>
            </w:r>
            <w:hyperlink r:id="rId14">
              <w:r>
                <w:rPr>
                  <w:rStyle w:val="Hyperlink"/>
                </w:rPr>
                <w:t>field</w:t>
              </w:r>
            </w:hyperlink>
            <w:r>
              <w:t xml:space="preserve"> delimiter.  Only single characters are supported.</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fileType</w:t>
            </w:r>
            <w:r>
              <w:t xml:space="preserve"> (File Type)</w:t>
            </w:r>
          </w:p>
        </w:tc>
        <w:tc>
          <w:tcPr>
            <w:tcW w:type="pct" w:w="4000"/>
          </w:tcPr>
          <w:p w:rsidRDefault="008B2896" w:rsidP="002E5918" w:rsidR="008B2896">
            <w:r>
              <w:t>Ignorable attribute with enum value that equals either "Macintosh," "Windows (ANSI)," or "MS-DOS (PC-8)" (see the definition of ST_FileType) and determines the kind of character set to use during import.</w:t>
            </w:r>
          </w:p>
          <w:p w:rsidRDefault="008B2896" w:rsidP="002E5918" w:rsidR="008B2896"/>
          <w:p w:rsidRDefault="008B2896" w:rsidP="002E5918" w:rsidR="008B2896">
            <w:r>
              <w:t xml:space="preserve">Only one of </w:t>
            </w:r>
            <w:r>
              <w:t>fileType</w:t>
            </w:r>
            <w:r>
              <w:t xml:space="preserve"> and </w:t>
            </w:r>
            <w:r>
              <w:t>codePage</w:t>
            </w:r>
            <w:r>
              <w:t xml:space="preserve"> should be specified for a </w:t>
            </w:r>
            <w:r>
              <w:t>textPr</w:t>
            </w:r>
            <w:r>
              <w:t>.</w:t>
            </w:r>
          </w:p>
          <w:p w:rsidRDefault="008B2896" w:rsidP="002E5918" w:rsidR="008B2896"/>
          <w:p w:rsidRDefault="008B2896" w:rsidP="002E5918" w:rsidR="008B2896">
            <w:r>
              <w:t xml:space="preserve">The possible values for this attribute are defined by the </w:t>
            </w:r>
            <w:r>
              <w:t/>
            </w:r>
            <w:hyperlink r:id="rId20">
              <w:r>
                <w:rPr>
                  <w:rStyle w:val="Hyperlink"/>
                </w:rPr>
                <w:t>ST_FileType</w:t>
              </w:r>
            </w:hyperlink>
            <w:r>
              <w:t/>
            </w:r>
            <w:r>
              <w:t xml:space="preserve"> simple type (§</w:t>
            </w:r>
            <w:fldSimple w:instr="REF book0adff28c-ff86-4b2b-86d5-d607856f7dbb \r \h">
              <w:r>
                <w:t>3.18.30</w:t>
              </w:r>
            </w:fldSimple>
            <w:r>
              <w:t>).</w:t>
            </w:r>
          </w:p>
        </w:tc>
      </w:tr>
      <w:tr w:rsidTr="002E5918" w:rsidR="008B2896">
        <w:tc>
          <w:tcPr>
            <w:tcW w:type="pct" w:w="1000"/>
          </w:tcPr>
          <w:p w:rsidRDefault="008B2896" w:rsidP="002E5918" w:rsidR="008B2896">
            <w:r>
              <w:t>firstRow</w:t>
            </w:r>
            <w:r>
              <w:t xml:space="preserve"> (First Row)</w:t>
            </w:r>
          </w:p>
        </w:tc>
        <w:tc>
          <w:tcPr>
            <w:tcW w:type="pct" w:w="4000"/>
          </w:tcPr>
          <w:p w:rsidRDefault="008B2896" w:rsidP="002E5918" w:rsidR="008B2896">
            <w:r>
              <w:t xml:space="preserve">Indicates at what </w:t>
            </w:r>
            <w:hyperlink r:id="rId21">
              <w:r>
                <w:rPr>
                  <w:rStyle w:val="Hyperlink"/>
                </w:rPr>
                <w:t>row</w:t>
              </w:r>
            </w:hyperlink>
            <w:r>
              <w:t xml:space="preserve"> of the file to start the data import.  All unsignedInt values are valid, although it's possible that firstRow will be higher than the number of rows in the text file, in which case no data will be imported.</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unsignedInt</w:t>
            </w:r>
            <w:r>
              <w:t xml:space="preserve"> datatype.</w:t>
            </w:r>
          </w:p>
        </w:tc>
      </w:tr>
      <w:tr w:rsidTr="002E5918" w:rsidR="008B2896">
        <w:tc>
          <w:tcPr>
            <w:tcW w:type="pct" w:w="1000"/>
          </w:tcPr>
          <w:p w:rsidRDefault="008B2896" w:rsidP="002E5918" w:rsidR="008B2896">
            <w:r>
              <w:t>prompt</w:t>
            </w:r>
            <w:r>
              <w:t xml:space="preserve"> (Prompt for File Name)</w:t>
            </w:r>
          </w:p>
        </w:tc>
        <w:tc>
          <w:tcPr>
            <w:tcW w:type="pct" w:w="4000"/>
          </w:tcPr>
          <w:p w:rsidRDefault="008B2896" w:rsidP="002E5918" w:rsidR="008B2896">
            <w:r>
              <w:t xml:space="preserve">Flag indicating whether the user wants to be prompted for the file name on refresh.  If </w:t>
            </w:r>
            <w:r>
              <w:t>false</w:t>
            </w:r>
            <w:r>
              <w:t xml:space="preserve">, then the user is not prompted.  If </w:t>
            </w:r>
            <w:r>
              <w:t>true</w:t>
            </w:r>
            <w:r>
              <w:t xml:space="preserve"> or not present, then the user is prompted.</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qualifier</w:t>
            </w:r>
            <w:r>
              <w:t xml:space="preserve"> (Qualifier)</w:t>
            </w:r>
          </w:p>
        </w:tc>
        <w:tc>
          <w:tcPr>
            <w:tcW w:type="pct" w:w="4000"/>
          </w:tcPr>
          <w:p w:rsidRDefault="008B2896" w:rsidP="002E5918" w:rsidR="008B2896">
            <w:r>
              <w:t>Character used as the text string qualifier.</w:t>
            </w:r>
          </w:p>
          <w:p w:rsidRDefault="008B2896" w:rsidP="002E5918" w:rsidR="008B2896"/>
          <w:p w:rsidRDefault="008B2896" w:rsidP="002E5918" w:rsidR="008B2896">
            <w:r>
              <w:t xml:space="preserve">The possible values for this attribute are defined by the </w:t>
            </w:r>
            <w:r>
              <w:t/>
            </w:r>
            <w:hyperlink r:id="rId22">
              <w:r>
                <w:rPr>
                  <w:rStyle w:val="Hyperlink"/>
                </w:rPr>
                <w:t>ST_Qualifier</w:t>
              </w:r>
            </w:hyperlink>
            <w:r>
              <w:t/>
            </w:r>
            <w:r>
              <w:t xml:space="preserve"> simple type (§</w:t>
            </w:r>
            <w:fldSimple w:instr="REF booka752bb0d-84a1-44a8-b5b3-5c7388c6d612 \r \h">
              <w:r>
                <w:t>3.18.63</w:t>
              </w:r>
            </w:fldSimple>
            <w:r>
              <w:t>).</w:t>
            </w:r>
          </w:p>
        </w:tc>
      </w:tr>
      <w:tr w:rsidTr="002E5918" w:rsidR="008B2896">
        <w:tc>
          <w:tcPr>
            <w:tcW w:type="pct" w:w="1000"/>
          </w:tcPr>
          <w:p w:rsidRDefault="008B2896" w:rsidP="002E5918" w:rsidR="008B2896">
            <w:r>
              <w:t>semicolon</w:t>
            </w:r>
            <w:r>
              <w:t xml:space="preserve"> (Semicolon </w:t>
            </w:r>
            <w:hyperlink r:id="rId13">
              <w:r>
                <w:rPr>
                  <w:rStyle w:val="Hyperlink"/>
                </w:rPr>
                <w:t>is</w:t>
              </w:r>
            </w:hyperlink>
            <w:r>
              <w:t xml:space="preserve"> Delimiter)</w:t>
            </w:r>
          </w:p>
        </w:tc>
        <w:tc>
          <w:tcPr>
            <w:tcW w:type="pct" w:w="4000"/>
          </w:tcPr>
          <w:p w:rsidRDefault="008B2896" w:rsidP="002E5918" w:rsidR="008B2896">
            <w:r>
              <w:t xml:space="preserve">Flag indicating whether to treat semicolon characters as </w:t>
            </w:r>
            <w:hyperlink r:id="rId14">
              <w:r>
                <w:rPr>
                  <w:rStyle w:val="Hyperlink"/>
                </w:rPr>
                <w:t>field</w:t>
              </w:r>
            </w:hyperlink>
            <w:r>
              <w:t xml:space="preserve"> delimiters.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sourceFile</w:t>
            </w:r>
            <w:r>
              <w:t xml:space="preserve"> (Source File Name)</w:t>
            </w:r>
          </w:p>
        </w:tc>
        <w:tc>
          <w:tcPr>
            <w:tcW w:type="pct" w:w="4000"/>
          </w:tcPr>
          <w:p w:rsidRDefault="008B2896" w:rsidP="002E5918" w:rsidR="008B2896">
            <w:r>
              <w:t>Path to the text file to use to import external data. May be expressed in URI or system-specific file path notation.</w:t>
            </w:r>
          </w:p>
          <w:p w:rsidRDefault="008B2896" w:rsidP="002E5918" w:rsidR="008B2896"/>
          <w:p w:rsidRDefault="008B2896" w:rsidP="002E5918" w:rsidR="008B2896">
            <w:r>
              <w:t>[</w:t>
            </w:r>
            <w:r>
              <w:t>Note</w:t>
            </w:r>
            <w:r>
              <w:t xml:space="preserve">: Applications can decide what forms of URI they support, and whether system-specific file path notations will be supported. </w:t>
            </w:r>
            <w:r>
              <w:t>end note</w:t>
            </w:r>
            <w:r>
              <w:t>]</w:t>
            </w:r>
          </w:p>
          <w:p w:rsidRDefault="008B2896" w:rsidP="002E5918" w:rsidR="008B2896">
            <w:r>
              <w:t xml:space="preserve"> </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space</w:t>
            </w:r>
            <w:r>
              <w:t xml:space="preserve"> (Space </w:t>
            </w:r>
            <w:hyperlink r:id="rId13">
              <w:r>
                <w:rPr>
                  <w:rStyle w:val="Hyperlink"/>
                </w:rPr>
                <w:t>is</w:t>
              </w:r>
            </w:hyperlink>
            <w:r>
              <w:t xml:space="preserve"> Delimiter)</w:t>
            </w:r>
          </w:p>
        </w:tc>
        <w:tc>
          <w:tcPr>
            <w:tcW w:type="pct" w:w="4000"/>
          </w:tcPr>
          <w:p w:rsidRDefault="008B2896" w:rsidP="002E5918" w:rsidR="008B2896">
            <w:r>
              <w:t xml:space="preserve">Flag indicating whether to treat space characters as </w:t>
            </w:r>
            <w:hyperlink r:id="rId14">
              <w:r>
                <w:rPr>
                  <w:rStyle w:val="Hyperlink"/>
                </w:rPr>
                <w:t>field</w:t>
              </w:r>
            </w:hyperlink>
            <w:r>
              <w:t xml:space="preserve"> delimiters.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tab</w:t>
            </w:r>
            <w:r>
              <w:t xml:space="preserve"> (Tab as Delimiter)</w:t>
            </w:r>
          </w:p>
        </w:tc>
        <w:tc>
          <w:tcPr>
            <w:tcW w:type="pct" w:w="4000"/>
          </w:tcPr>
          <w:p w:rsidRDefault="008B2896" w:rsidP="002E5918" w:rsidR="008B2896">
            <w:r>
              <w:t xml:space="preserve">Flag indicating whether to treat tab characters as </w:t>
            </w:r>
            <w:hyperlink r:id="rId14">
              <w:r>
                <w:rPr>
                  <w:rStyle w:val="Hyperlink"/>
                </w:rPr>
                <w:t>field</w:t>
              </w:r>
            </w:hyperlink>
            <w:r>
              <w:t xml:space="preserve"> delimiters.  If </w:t>
            </w:r>
            <w:r>
              <w:t>false</w:t>
            </w:r>
            <w:r>
              <w:t xml:space="preserve">, then tabs will not be used as delimiters.  If </w:t>
            </w:r>
            <w:r>
              <w:t>true</w:t>
            </w:r>
            <w:r>
              <w:t xml:space="preserve"> or not present, then they will be used as delimiters.</w:t>
            </w:r>
          </w:p>
          <w:p w:rsidRDefault="008B2896" w:rsidP="002E5918" w:rsidR="008B2896"/>
          <w:p w:rsidRDefault="008B2896" w:rsidP="002E5918" w:rsidR="008B2896">
            <w:r>
              <w:t xml:space="preserve">The possible values for this attribute are defined by the XML </w:t>
            </w:r>
            <w:hyperlink r:id="rId12">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thousands</w:t>
            </w:r>
            <w:r>
              <w:t xml:space="preserve"> (Thousands Separator)</w:t>
            </w:r>
          </w:p>
        </w:tc>
        <w:tc>
          <w:tcPr>
            <w:tcW w:type="pct" w:w="4000"/>
          </w:tcPr>
          <w:p w:rsidRDefault="008B2896" w:rsidP="002E5918" w:rsidR="008B2896">
            <w:r>
              <w:t xml:space="preserve">The thousands separator character.  This and the </w:t>
            </w:r>
            <w:r>
              <w:t>decimal</w:t>
            </w:r>
            <w:r>
              <w:t xml:space="preserve"> attribute are used only when data in the text file contains decimal and thousands separators that are different from those used on the computer, due to a different language setting being used.  Please refer to the </w:t>
            </w:r>
            <w:r>
              <w:t>decimal</w:t>
            </w:r>
            <w:r>
              <w:t xml:space="preserve"> attribute description above for a Table describing the behavior.</w:t>
            </w:r>
          </w:p>
          <w:p w:rsidRDefault="008B2896" w:rsidP="002E5918" w:rsidR="008B2896"/>
          <w:p w:rsidRDefault="008B2896" w:rsidP="002E5918" w:rsidR="008B2896">
            <w:r>
              <w:t>Strings values of this attribute are expected to be one character in length.</w:t>
            </w:r>
          </w:p>
          <w:p w:rsidRDefault="008B2896" w:rsidP="002E5918" w:rsidR="008B2896"/>
          <w:p w:rsidRDefault="008B2896" w:rsidP="002E5918" w:rsidR="008B2896">
            <w:r>
              <w:t xml:space="preserve">The possible values for this attribute are defined by the </w:t>
            </w:r>
            <w:r>
              <w:t/>
            </w:r>
            <w:hyperlink r:id="rId19">
              <w:r>
                <w:rPr>
                  <w:rStyle w:val="Hyperlink"/>
                </w:rPr>
                <w:t>ST_Xstring</w:t>
              </w:r>
            </w:hyperlink>
            <w:r>
              <w:t/>
            </w:r>
            <w:r>
              <w:t xml:space="preserve"> simple type (§</w:t>
            </w:r>
            <w:fldSimple w:instr="REF book012c5b14-6451-4e25-bb50-e7b5e982f6dd \r \h">
              <w:r>
                <w:t>3.18.96</w:t>
              </w:r>
            </w:fldSimple>
            <w:r>
              <w:t>).</w:t>
            </w:r>
          </w:p>
        </w:tc>
      </w:tr>
    </w:tbl>
    <w:p w:rsidRDefault="008B2896" w:rsidP="008B2896" w:rsidR="008B2896">
      <w:pPr>
        <w:pStyle w:val="KeepWithNext"/>
      </w:pPr>
      <w:r>
        <w:t xml:space="preserve">The following XML </w:t>
      </w:r>
      <w:hyperlink r:id="rId12">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3">
        <w:r>
          <w:rPr>
            <w:rStyle w:val="Hyperlink"/>
          </w:rPr>
          <w:t>name</w:t>
        </w:r>
      </w:hyperlink>
      <w:r>
        <w:t>="CT_TextPr"&gt;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720" w:val="left"/>
        </w:tabs>
        <w:ind w:hanging="900" w:left="900"/>
      </w:pPr>
      <w:r>
        <w:tab/>
      </w:r>
      <w:r>
        <w:t>&lt;element name="</w:t>
      </w:r>
      <w:hyperlink r:id="rId9">
        <w:r>
          <w:rPr>
            <w:rStyle w:val="Hyperlink"/>
          </w:rPr>
          <w:t>textFields</w:t>
        </w:r>
      </w:hyperlink>
      <w:r>
        <w:t>" minOccurs="0" maxOccurs="1" type="CT_TextFields"/&gt;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&lt;attribute name="prompt" use="optional" type="xsd:boolean" default="true"/&gt;</w:t>
      </w:r>
    </w:p>
    <w:p w:rsidRDefault="008B2896" w:rsidP="008B2896" w:rsidR="008B2896">
      <w:pPr>
        <w:pStyle w:val="SchemaFragment"/>
        <w:tabs>
          <w:tab w:pos="360" w:val="left"/>
        </w:tabs>
        <w:ind w:hanging="540" w:left="540"/>
      </w:pPr>
      <w:r>
        <w:tab/>
      </w:r>
      <w:r>
        <w:t>&lt;attribute name="fileType" use="optional" type="</w:t>
      </w:r>
      <w:hyperlink r:id="rId20">
        <w:r>
          <w:rPr>
            <w:rStyle w:val="Hyperlink"/>
          </w:rPr>
          <w:t>ST_FileType</w:t>
        </w:r>
      </w:hyperlink>
      <w:r>
        <w:t>" default="win"/&gt;</w:t>
      </w:r>
    </w:p>
    <w:p w:rsidRDefault="008B2896" w:rsidP="008B2896" w:rsidR="008B2896">
      <w:pPr>
        <w:pStyle w:val="SchemaFragment"/>
        <w:tabs>
          <w:tab w:pos="360" w:val="left"/>
        </w:tabs>
        <w:ind w:hanging="540" w:left="540"/>
      </w:pPr>
      <w:r>
        <w:tab/>
      </w:r>
      <w:r>
        <w:t>&lt;attribute name="codePage" use="optional" type="xsd:unsignedInt" default="1252"/&gt;</w:t>
      </w:r>
    </w:p>
    <w:p w:rsidRDefault="008B2896" w:rsidP="008B2896" w:rsidR="008B2896">
      <w:pPr>
        <w:pStyle w:val="SchemaFragment"/>
        <w:tabs>
          <w:tab w:pos="360" w:val="left"/>
        </w:tabs>
        <w:ind w:hanging="540" w:left="540"/>
      </w:pPr>
      <w:r>
        <w:tab/>
      </w:r>
      <w:r>
        <w:t>&lt;attribute name="firstRow" use="optional" type="xsd:unsignedInt" default="1"/&gt;</w:t>
      </w:r>
    </w:p>
    <w:p w:rsidRDefault="008B2896" w:rsidP="008B2896" w:rsidR="008B2896">
      <w:pPr>
        <w:pStyle w:val="SchemaFragment"/>
        <w:tabs>
          <w:tab w:pos="360" w:val="left"/>
        </w:tabs>
        <w:ind w:hanging="540" w:left="540"/>
      </w:pPr>
      <w:r>
        <w:tab/>
      </w:r>
      <w:r>
        <w:t>&lt;attribute name="sourceFile" use="optional" type="</w:t>
      </w:r>
      <w:hyperlink r:id="rId19">
        <w:r>
          <w:rPr>
            <w:rStyle w:val="Hyperlink"/>
          </w:rPr>
          <w:t>ST_Xstring</w:t>
        </w:r>
      </w:hyperlink>
      <w:r>
        <w:t>" default=""/&gt;</w:t>
      </w:r>
    </w:p>
    <w:p w:rsidRDefault="008B2896" w:rsidP="008B2896" w:rsidR="008B2896">
      <w:pPr>
        <w:pStyle w:val="SchemaFragment"/>
        <w:tabs>
          <w:tab w:pos="360" w:val="left"/>
        </w:tabs>
        <w:ind w:hanging="540" w:left="540"/>
      </w:pPr>
      <w:r>
        <w:tab/>
      </w:r>
      <w:r>
        <w:t>&lt;attribute name="delimited" use="optional" type="xsd:boolean" default="true"/&gt;</w:t>
      </w:r>
    </w:p>
    <w:p w:rsidRDefault="008B2896" w:rsidP="008B2896" w:rsidR="008B2896">
      <w:pPr>
        <w:pStyle w:val="SchemaFragment"/>
        <w:tabs>
          <w:tab w:pos="360" w:val="left"/>
        </w:tabs>
        <w:ind w:hanging="540" w:left="540"/>
      </w:pPr>
      <w:r>
        <w:tab/>
      </w:r>
      <w:r>
        <w:t>&lt;attribute name="decimal" use="optional" type="</w:t>
      </w:r>
      <w:hyperlink r:id="rId19">
        <w:r>
          <w:rPr>
            <w:rStyle w:val="Hyperlink"/>
          </w:rPr>
          <w:t>ST_Xstring</w:t>
        </w:r>
      </w:hyperlink>
      <w:r>
        <w:t>" default="."/&gt;</w:t>
      </w:r>
    </w:p>
    <w:p w:rsidRDefault="008B2896" w:rsidP="008B2896" w:rsidR="008B2896">
      <w:pPr>
        <w:pStyle w:val="SchemaFragment"/>
        <w:tabs>
          <w:tab w:pos="360" w:val="left"/>
        </w:tabs>
        <w:ind w:hanging="540" w:left="540"/>
      </w:pPr>
      <w:r>
        <w:tab/>
      </w:r>
      <w:r>
        <w:t>&lt;attribute name="thousands" use="optional" type="</w:t>
      </w:r>
      <w:hyperlink r:id="rId19">
        <w:r>
          <w:rPr>
            <w:rStyle w:val="Hyperlink"/>
          </w:rPr>
          <w:t>ST_Xstring</w:t>
        </w:r>
      </w:hyperlink>
      <w:r>
        <w:t>" default=","/&gt;</w:t>
      </w:r>
    </w:p>
    <w:p w:rsidRDefault="008B2896" w:rsidP="008B2896" w:rsidR="008B2896">
      <w:pPr>
        <w:pStyle w:val="SchemaFragment"/>
        <w:tabs>
          <w:tab w:pos="360" w:val="left"/>
        </w:tabs>
        <w:ind w:hanging="540" w:left="540"/>
      </w:pPr>
      <w:r>
        <w:tab/>
      </w:r>
      <w:r>
        <w:t>&lt;attribute name="tab" use="optional" type="xsd:boolean" default="true"/&gt;</w:t>
      </w:r>
    </w:p>
    <w:p w:rsidRDefault="008B2896" w:rsidP="008B2896" w:rsidR="008B2896">
      <w:pPr>
        <w:pStyle w:val="SchemaFragment"/>
        <w:tabs>
          <w:tab w:pos="360" w:val="left"/>
        </w:tabs>
        <w:ind w:hanging="540" w:left="540"/>
      </w:pPr>
      <w:r>
        <w:tab/>
      </w:r>
      <w:r>
        <w:t>&lt;attribute name="space" use="optional" type="xsd:boolean" default="false"/&gt;</w:t>
      </w:r>
    </w:p>
    <w:p w:rsidRDefault="008B2896" w:rsidP="008B2896" w:rsidR="008B2896">
      <w:pPr>
        <w:pStyle w:val="SchemaFragment"/>
        <w:tabs>
          <w:tab w:pos="360" w:val="left"/>
        </w:tabs>
        <w:ind w:hanging="540" w:left="540"/>
      </w:pPr>
      <w:r>
        <w:tab/>
      </w:r>
      <w:r>
        <w:t>&lt;attribute name="comma" use="optional" type="xsd:boolean" default="false"/&gt;</w:t>
      </w:r>
    </w:p>
    <w:p w:rsidRDefault="008B2896" w:rsidP="008B2896" w:rsidR="008B2896">
      <w:pPr>
        <w:pStyle w:val="SchemaFragment"/>
        <w:tabs>
          <w:tab w:pos="360" w:val="left"/>
        </w:tabs>
        <w:ind w:hanging="540" w:left="540"/>
      </w:pPr>
      <w:r>
        <w:tab/>
      </w:r>
      <w:r>
        <w:t>&lt;attribute name="semicolon" use="optional" type="xsd:boolean" default="false"/&gt;</w:t>
      </w:r>
    </w:p>
    <w:p w:rsidRDefault="008B2896" w:rsidP="008B2896" w:rsidR="008B2896">
      <w:pPr>
        <w:pStyle w:val="SchemaFragment"/>
        <w:tabs>
          <w:tab w:pos="360" w:val="left"/>
        </w:tabs>
        <w:ind w:hanging="540" w:left="540"/>
      </w:pPr>
      <w:r>
        <w:tab/>
      </w:r>
      <w:r>
        <w:t>&lt;attribute name="consecutive" use="optional" type="xsd:boolean" default="false"/&gt;</w:t>
      </w:r>
    </w:p>
    <w:p w:rsidRDefault="008B2896" w:rsidP="008B2896" w:rsidR="008B2896">
      <w:pPr>
        <w:pStyle w:val="SchemaFragment"/>
        <w:tabs>
          <w:tab w:pos="360" w:val="left"/>
        </w:tabs>
        <w:ind w:hanging="540" w:left="540"/>
      </w:pPr>
      <w:r>
        <w:tab/>
      </w:r>
      <w:r>
        <w:t>&lt;attribute name="qualifier" use="optional" type="</w:t>
      </w:r>
      <w:hyperlink r:id="rId22">
        <w:r>
          <w:rPr>
            <w:rStyle w:val="Hyperlink"/>
          </w:rPr>
          <w:t>ST_Qualifier</w:t>
        </w:r>
      </w:hyperlink>
      <w:r>
        <w:t>" default="doubleQuote"/&gt;</w:t>
      </w:r>
    </w:p>
    <w:p w:rsidRDefault="008B2896" w:rsidP="008B2896" w:rsidR="008B2896">
      <w:pPr>
        <w:pStyle w:val="SchemaFragment"/>
        <w:tabs>
          <w:tab w:pos="360" w:val="left"/>
        </w:tabs>
        <w:ind w:hanging="540" w:left="540"/>
      </w:pPr>
      <w:r>
        <w:tab/>
      </w:r>
      <w:r>
        <w:t xml:space="preserve">&lt;attribute </w:t>
      </w:r>
      <w:hyperlink r:id="rId23">
        <w:r>
          <w:rPr>
            <w:rStyle w:val="Hyperlink"/>
          </w:rPr>
          <w:t>name</w:t>
        </w:r>
      </w:hyperlink>
      <w:r>
        <w:t>="delimiter" use="optional" type="</w:t>
      </w:r>
      <w:hyperlink r:id="rId19">
        <w:r>
          <w:rPr>
            <w:rStyle w:val="Hyperlink"/>
          </w:rPr>
          <w:t>ST_Xstring</w:t>
        </w:r>
      </w:hyperlink>
      <w:r>
        <w:t>"/&gt;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onnection.docx" TargetMode="External"/><Relationship Id="rId9" Type="http://schemas.openxmlformats.org/officeDocument/2006/relationships/hyperlink" Target="textFields.docx" TargetMode="External"/><Relationship Id="rId10" Type="http://schemas.openxmlformats.org/officeDocument/2006/relationships/hyperlink" Target="textField.docx" TargetMode="External"/><Relationship Id="rId11" Type="http://schemas.openxmlformats.org/officeDocument/2006/relationships/hyperlink" Target="page.docx" TargetMode="External"/><Relationship Id="rId12" Type="http://schemas.openxmlformats.org/officeDocument/2006/relationships/hyperlink" Target="Schema.docx" TargetMode="External"/><Relationship Id="rId13" Type="http://schemas.openxmlformats.org/officeDocument/2006/relationships/hyperlink" Target="is.docx" TargetMode="External"/><Relationship Id="rId14" Type="http://schemas.openxmlformats.org/officeDocument/2006/relationships/hyperlink" Target="field.docx" TargetMode="External"/><Relationship Id="rId15" Type="http://schemas.openxmlformats.org/officeDocument/2006/relationships/hyperlink" Target="fill.docx" TargetMode="External"/><Relationship Id="rId16" Type="http://schemas.openxmlformats.org/officeDocument/2006/relationships/hyperlink" Target="worksheet.docx" TargetMode="External"/><Relationship Id="rId17" Type="http://schemas.openxmlformats.org/officeDocument/2006/relationships/hyperlink" Target="table.docx" TargetMode="External"/><Relationship Id="rId18" Type="http://schemas.openxmlformats.org/officeDocument/2006/relationships/hyperlink" Target="value.docx" TargetMode="External"/><Relationship Id="rId19" Type="http://schemas.openxmlformats.org/officeDocument/2006/relationships/hyperlink" Target="ST_Xstring.docx" TargetMode="External"/><Relationship Id="rId20" Type="http://schemas.openxmlformats.org/officeDocument/2006/relationships/hyperlink" Target="ST_FileType.docx" TargetMode="External"/><Relationship Id="rId21" Type="http://schemas.openxmlformats.org/officeDocument/2006/relationships/hyperlink" Target="row.docx" TargetMode="External"/><Relationship Id="rId22" Type="http://schemas.openxmlformats.org/officeDocument/2006/relationships/hyperlink" Target="ST_Qualifier.docx" TargetMode="External"/><Relationship Id="rId23"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