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67_1" w:id="100001"/>
      <w:bookmarkStart w:name="bookc9d6772f-d91f-4e16-adf7-a7bff5094b11_1" w:id="100002"/>
      <w:r>
        <w:t>inputCells</w:t>
      </w:r>
      <w:r>
        <w:t xml:space="preserve"> (Input Cells)</w:t>
      </w:r>
      <w:bookmarkEnd w:id="100001"/>
    </w:p>
    <w:bookmarkEnd w:id="100002"/>
    <w:p w:rsidRDefault="008B2896" w:rsidP="008B2896" w:rsidR="008B2896">
      <w:r>
        <w:t xml:space="preserve">This collection describes each input </w:t>
      </w:r>
      <w:hyperlink r:id="rId8">
        <w:r>
          <w:rPr>
            <w:rStyle w:val="Hyperlink"/>
          </w:rPr>
          <w:t>cell</w:t>
        </w:r>
      </w:hyperlink>
      <w:r>
        <w:t xml:space="preserve"> for the scenario.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scenario</w:t>
              </w:r>
            </w:hyperlink>
            <w:r>
              <w:t/>
            </w:r>
            <w:r>
              <w:t xml:space="preserve"> (§</w:t>
            </w:r>
            <w:fldSimple w:instr="REF book11d751b4-082e-4833-b6ed-19fd5ef0ae0e \r \h">
              <w:r>
                <w:t>3.3.1.73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deleted</w:t>
            </w:r>
            <w:r>
              <w:t xml:space="preserve"> (Deleted)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Input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was deleted. This input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shall be present in the file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, but shall not be presented to the user as part of the </w:t>
            </w:r>
            <w:hyperlink r:id="rId9">
              <w:r>
                <w:rPr>
                  <w:rStyle w:val="Hyperlink"/>
                </w:rPr>
                <w:t>scenario</w:t>
              </w:r>
            </w:hyperlink>
            <w:r>
              <w:t xml:space="preserve"> inputs, nor run as part of the scenario.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numFmtId</w:t>
            </w:r>
            <w:r>
              <w:t xml:space="preserve"> (Number 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number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Id is used only when displaying the </w:t>
            </w:r>
            <w:hyperlink r:id="rId9">
              <w:r>
                <w:rPr>
                  <w:rStyle w:val="Hyperlink"/>
                </w:rPr>
                <w:t>scenario</w:t>
              </w:r>
            </w:hyperlink>
            <w:r>
              <w:t xml:space="preserve"> manager input UI, and is used to properly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for display the cached input values (see </w:t>
            </w:r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attribute) for the scenario.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ST_NumFmtId</w:t>
              </w:r>
            </w:hyperlink>
            <w:r>
              <w:t/>
            </w:r>
            <w:r>
              <w:t xml:space="preserve"> simple type (§</w:t>
            </w:r>
            <w:fldSimple w:instr="REF bookef31a38e-0664-451b-88ac-0f1893c36a09 \r \h">
              <w:r>
                <w:t>3.18.49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Cell </w:t>
            </w:r>
            <w:hyperlink r:id="rId15">
              <w:r>
                <w:rPr>
                  <w:rStyle w:val="Hyperlink"/>
                </w:rPr>
                <w:t>reference</w:t>
              </w:r>
            </w:hyperlink>
            <w:r>
              <w:t xml:space="preserve"> indicating the input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address.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undone</w:t>
            </w:r>
            <w:r>
              <w:t xml:space="preserve"> (Undone)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Cell's deletion was undone. When true the </w:t>
            </w:r>
            <w:hyperlink r:id="rId14">
              <w:r>
                <w:rPr>
                  <w:rStyle w:val="Hyperlink"/>
                </w:rPr>
                <w:t>r</w:t>
              </w:r>
            </w:hyperlink>
            <w:r>
              <w:t xml:space="preserve"> (reference) value shall not adjust in response to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moving due to </w:t>
            </w:r>
            <w:hyperlink r:id="rId17">
              <w:r>
                <w:rPr>
                  <w:rStyle w:val="Hyperlink"/>
                </w:rPr>
                <w:t>row</w:t>
              </w:r>
            </w:hyperlink>
            <w:r>
              <w:t xml:space="preserve"> / column insert or delete,or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move.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Value that should be used for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when this </w:t>
            </w:r>
            <w:hyperlink r:id="rId9">
              <w:r>
                <w:rPr>
                  <w:rStyle w:val="Hyperlink"/>
                </w:rPr>
                <w:t>scenario</w:t>
              </w:r>
            </w:hyperlink>
            <w:r>
              <w:t xml:space="preserve"> is run.</w:t>
            </w:r>
          </w:p>
          <w:p w:rsidRDefault="008B2896" w:rsidP="002E5918" w:rsidR="008B2896"/>
          <w:p w:rsidRDefault="008B2896" w:rsidP="002E5918" w:rsidR="008B2896">
            <w:r>
              <w:t xml:space="preserve">Note: </w:t>
            </w:r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does not need a corresponding data type, the value is put into the </w:t>
            </w:r>
            <w:hyperlink r:id="rId8">
              <w:r>
                <w:rPr>
                  <w:rStyle w:val="Hyperlink"/>
                </w:rPr>
                <w:t>cell</w:t>
              </w:r>
            </w:hyperlink>
            <w:r>
              <w:t xml:space="preserve"> when the </w:t>
            </w:r>
            <w:hyperlink r:id="rId9">
              <w:r>
                <w:rPr>
                  <w:rStyle w:val="Hyperlink"/>
                </w:rPr>
                <w:t>scenario</w:t>
              </w:r>
            </w:hyperlink>
            <w:r>
              <w:t xml:space="preserve"> is run.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="CT_InputCells"&gt;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r</w:t>
        </w:r>
      </w:hyperlink>
      <w:r>
        <w:t>" type="</w:t>
      </w:r>
      <w:hyperlink r:id="rId16">
        <w:r>
          <w:rPr>
            <w:rStyle w:val="Hyperlink"/>
          </w:rPr>
          <w:t>ST_CellRef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name="deleted"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name="undone"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8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="numFmtId" type="</w:t>
      </w:r>
      <w:hyperlink r:id="rId13">
        <w:r>
          <w:rPr>
            <w:rStyle w:val="Hyperlink"/>
          </w:rPr>
          <w:t>ST_NumFmtId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scenario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ST_NumFmtId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reference.docx" TargetMode="External"/><Relationship Id="rId16" Type="http://schemas.openxmlformats.org/officeDocument/2006/relationships/hyperlink" Target="ST_CellRef.docx" TargetMode="External"/><Relationship Id="rId17" Type="http://schemas.openxmlformats.org/officeDocument/2006/relationships/hyperlink" Target="row.docx" TargetMode="External"/><Relationship Id="rId18" Type="http://schemas.openxmlformats.org/officeDocument/2006/relationships/hyperlink" Target="ST_Xstring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