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8.png" ContentType="image/png"/>
  <Override PartName="/word/media/image79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8_1" w:id="100001"/>
      <w:bookmarkStart w:name="book11b191b3-c030-4a9a-9f3f-9b061cfb7188_1" w:id="100002"/>
      <w:r>
        <w:t>gradientFill</w:t>
      </w:r>
      <w:r>
        <w:t xml:space="preserve"> (Gradient)</w:t>
      </w:r>
      <w:bookmarkEnd w:id="100001"/>
    </w:p>
    <w:bookmarkEnd w:id="100002"/>
    <w:p w:rsidRDefault="008B2896" w:rsidP="008B2896" w:rsidR="008B2896">
      <w:r>
        <w:t xml:space="preserve">This element defines a gradient-style </w:t>
      </w:r>
      <w:hyperlink r:id="rId14">
        <w:r>
          <w:rPr>
            <w:rStyle w:val="Hyperlink"/>
          </w:rPr>
          <w:t>cell</w:t>
        </w:r>
      </w:hyperlink>
      <w:r>
        <w:t xml:space="preserve"> fill. Gradient </w:t>
      </w:r>
      <w:hyperlink r:id="rId14">
        <w:r>
          <w:rPr>
            <w:rStyle w:val="Hyperlink"/>
          </w:rPr>
          <w:t>cell</w:t>
        </w:r>
      </w:hyperlink>
      <w:r>
        <w:t xml:space="preserve"> </w:t>
      </w:r>
      <w:hyperlink r:id="rId15">
        <w:r>
          <w:rPr>
            <w:rStyle w:val="Hyperlink"/>
          </w:rPr>
          <w:t>fills</w:t>
        </w:r>
      </w:hyperlink>
      <w:r>
        <w:t xml:space="preserve"> can use one or two </w:t>
      </w:r>
      <w:hyperlink r:id="rId16">
        <w:r>
          <w:rPr>
            <w:rStyle w:val="Hyperlink"/>
          </w:rPr>
          <w:t>colors</w:t>
        </w:r>
      </w:hyperlink>
      <w:r>
        <w:t xml:space="preserve"> as the end points of </w:t>
      </w:r>
      <w:hyperlink r:id="rId17">
        <w:r>
          <w:rPr>
            <w:rStyle w:val="Hyperlink"/>
          </w:rPr>
          <w:t>color</w:t>
        </w:r>
      </w:hyperlink>
      <w:r>
        <w:t xml:space="preserve"> interpolation.</w:t>
      </w:r>
    </w:p>
    <w:p w:rsidRDefault="008B2896" w:rsidP="008B2896" w:rsidR="008B2896">
      <w:r>
        <w:t xml:space="preserve"> [</w:t>
      </w:r>
      <w:r>
        <w:t>Example</w:t>
      </w:r>
      <w:r>
        <w:t>:</w:t>
      </w:r>
    </w:p>
    <w:p w:rsidRDefault="008B2896" w:rsidP="008B2896" w:rsidR="008B2896">
      <w:r>
        <w:t xml:space="preserve">This example shows a gradient </w:t>
      </w:r>
      <w:hyperlink r:id="rId14">
        <w:r>
          <w:rPr>
            <w:rStyle w:val="Hyperlink"/>
          </w:rPr>
          <w:t>cell</w:t>
        </w:r>
      </w:hyperlink>
      <w:r>
        <w:t xml:space="preserve"> </w:t>
      </w:r>
      <w:hyperlink r:id="rId18">
        <w:r>
          <w:rPr>
            <w:rStyle w:val="Hyperlink"/>
          </w:rPr>
          <w:t>fill</w:t>
        </w:r>
      </w:hyperlink>
      <w:r>
        <w:t xml:space="preserve">, with </w:t>
      </w:r>
      <w:hyperlink r:id="rId17">
        <w:r>
          <w:rPr>
            <w:rStyle w:val="Hyperlink"/>
          </w:rPr>
          <w:t>color</w:t>
        </w:r>
      </w:hyperlink>
      <w:r>
        <w:t xml:space="preserve"> green at the top transitioning into blue at the bottom.</w:t>
      </w:r>
    </w:p>
    <w:p w:rsidRDefault="008B2896" w:rsidP="008B2896" w:rsidR="008B2896">
      <w:r>
        <w:drawing>
          <wp:inline distR="0" distL="0" distB="0" distT="0">
            <wp:extent cy="414655" cx="857885"/>
            <wp:effectExtent b="0" r="0" t="0" l="0"/>
            <wp:docPr name="Picture 44" id="61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14655" cx="85788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This </w:t>
      </w:r>
      <w:hyperlink r:id="rId19">
        <w:r>
          <w:rPr>
            <w:rStyle w:val="Hyperlink"/>
          </w:rPr>
          <w:t>is</w:t>
        </w:r>
      </w:hyperlink>
      <w:r>
        <w:t xml:space="preserve"> the XML:</w:t>
      </w:r>
    </w:p>
    <w:p w:rsidRDefault="008B2896" w:rsidP="008B2896" w:rsidR="008B2896">
      <w:pPr>
        <w:pStyle w:val="c"/>
        <w:rPr>
          <w:rStyle w:val="Codefragment"/>
        </w:rPr>
      </w:pPr>
      <w:r>
        <w:t>&lt;</w:t>
      </w:r>
      <w:hyperlink r:id="rId18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&lt;gradientFill degree="90"&gt;</w:t>
      </w:r>
      <w:r>
        <w:br/>
      </w:r>
      <w:r>
        <w:t xml:space="preserve">    &lt;</w:t>
      </w:r>
      <w:hyperlink r:id="rId20">
        <w:r>
          <w:rPr>
            <w:rStyle w:val="Hyperlink"/>
          </w:rPr>
          <w:t>stop</w:t>
        </w:r>
      </w:hyperlink>
      <w:r>
        <w:t xml:space="preserve"> position="0"&gt;</w:t>
      </w:r>
      <w:r>
        <w:br/>
      </w:r>
      <w:r>
        <w:t xml:space="preserve">      &lt;</w:t>
      </w:r>
      <w:hyperlink r:id="rId17">
        <w:r>
          <w:rPr>
            <w:rStyle w:val="Hyperlink"/>
          </w:rPr>
          <w:t>color</w:t>
        </w:r>
      </w:hyperlink>
      <w:r>
        <w:t xml:space="preserve"> rgb="FF92D050"/&gt;</w:t>
      </w:r>
      <w:r>
        <w:br/>
      </w:r>
      <w:r>
        <w:t xml:space="preserve">    &lt;/</w:t>
      </w:r>
      <w:hyperlink r:id="rId20">
        <w:r>
          <w:rPr>
            <w:rStyle w:val="Hyperlink"/>
          </w:rPr>
          <w:t>stop</w:t>
        </w:r>
      </w:hyperlink>
      <w:r>
        <w:t>&gt;</w:t>
      </w:r>
    </w:p>
    <w:p w:rsidRDefault="008B2896" w:rsidP="008B2896" w:rsidR="008B2896">
      <w:pPr>
        <w:pStyle w:val="c"/>
        <w:rPr>
          <w:rStyle w:val="Codefragment"/>
        </w:rPr>
      </w:pPr>
      <w:r>
        <w:t xml:space="preserve">    &lt;</w:t>
      </w:r>
      <w:hyperlink r:id="rId20">
        <w:r>
          <w:rPr>
            <w:rStyle w:val="Hyperlink"/>
          </w:rPr>
          <w:t>stop</w:t>
        </w:r>
      </w:hyperlink>
      <w:r>
        <w:t xml:space="preserve"> position="1"&gt;</w:t>
      </w:r>
      <w:r>
        <w:br/>
      </w:r>
      <w:r>
        <w:t xml:space="preserve">      &lt;</w:t>
      </w:r>
      <w:hyperlink r:id="rId17">
        <w:r>
          <w:rPr>
            <w:rStyle w:val="Hyperlink"/>
          </w:rPr>
          <w:t>color</w:t>
        </w:r>
      </w:hyperlink>
      <w:r>
        <w:t xml:space="preserve"> rgb="FF0070C0"/&gt;</w:t>
      </w:r>
      <w:r>
        <w:br/>
      </w:r>
      <w:r>
        <w:t xml:space="preserve">    &lt;/</w:t>
      </w:r>
      <w:hyperlink r:id="rId20">
        <w:r>
          <w:rPr>
            <w:rStyle w:val="Hyperlink"/>
          </w:rPr>
          <w:t>stop</w:t>
        </w:r>
      </w:hyperlink>
      <w:r>
        <w:t>&gt;</w:t>
      </w:r>
      <w:r>
        <w:br/>
      </w:r>
      <w:r>
        <w:t xml:space="preserve">  &lt;/gradientFill&gt;</w:t>
      </w:r>
      <w:r>
        <w:br/>
      </w:r>
      <w:r>
        <w:t>&lt;/</w:t>
      </w:r>
      <w:hyperlink r:id="rId18">
        <w:r>
          <w:rPr>
            <w:rStyle w:val="Hyperlink"/>
          </w:rPr>
          <w:t>fill</w:t>
        </w:r>
      </w:hyperlink>
      <w:r>
        <w:t>&gt;</w:t>
      </w:r>
    </w:p>
    <w:p w:rsidRDefault="008B2896" w:rsidP="008B2896" w:rsidR="008B2896">
      <w:r>
        <w:t xml:space="preserve">This example shows a gradient </w:t>
      </w:r>
      <w:hyperlink r:id="rId14">
        <w:r>
          <w:rPr>
            <w:rStyle w:val="Hyperlink"/>
          </w:rPr>
          <w:t>cell</w:t>
        </w:r>
      </w:hyperlink>
      <w:r>
        <w:t xml:space="preserve"> </w:t>
      </w:r>
      <w:hyperlink r:id="rId18">
        <w:r>
          <w:rPr>
            <w:rStyle w:val="Hyperlink"/>
          </w:rPr>
          <w:t>fill</w:t>
        </w:r>
      </w:hyperlink>
      <w:r>
        <w:t xml:space="preserve">, from the center. Note the </w:t>
      </w:r>
      <w:r>
        <w:t>left</w:t>
      </w:r>
      <w:r>
        <w:t xml:space="preserve">, </w:t>
      </w:r>
      <w:r>
        <w:t>right</w:t>
      </w:r>
      <w:r>
        <w:t xml:space="preserve">, </w:t>
      </w:r>
      <w:r>
        <w:t>top</w:t>
      </w:r>
      <w:r>
        <w:t xml:space="preserve">, and </w:t>
      </w:r>
      <w:r>
        <w:t>bottom</w:t>
      </w:r>
      <w:r>
        <w:t xml:space="preserve"> values (and see explanation in the attribute section):</w:t>
      </w:r>
    </w:p>
    <w:p w:rsidRDefault="008B2896" w:rsidP="008B2896" w:rsidR="008B2896">
      <w:r>
        <w:drawing>
          <wp:inline distR="0" distL="0" distB="0" distT="0">
            <wp:extent cy="1263015" cx="1687195"/>
            <wp:effectExtent b="0" r="0" t="0" l="0"/>
            <wp:docPr name="Picture 139" id="6603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63015" cx="168719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pStyle w:val="c"/>
      </w:pPr>
      <w:r>
        <w:t>&lt;</w:t>
      </w:r>
      <w:hyperlink r:id="rId18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&lt;gradientFill type="path" left="0.2" right="0.8" top="0.2" bottom="0.8"&gt;</w:t>
      </w:r>
      <w:r>
        <w:br/>
      </w:r>
      <w:r>
        <w:t xml:space="preserve">    &lt;</w:t>
      </w:r>
      <w:hyperlink r:id="rId20">
        <w:r>
          <w:rPr>
            <w:rStyle w:val="Hyperlink"/>
          </w:rPr>
          <w:t>stop</w:t>
        </w:r>
      </w:hyperlink>
      <w:r>
        <w:t xml:space="preserve"> position="0"&gt;</w:t>
      </w:r>
      <w:r>
        <w:br/>
      </w:r>
      <w:r>
        <w:t xml:space="preserve">      &lt;</w:t>
      </w:r>
      <w:hyperlink r:id="rId17">
        <w:r>
          <w:rPr>
            <w:rStyle w:val="Hyperlink"/>
          </w:rPr>
          <w:t>color</w:t>
        </w:r>
      </w:hyperlink>
      <w:r>
        <w:t xml:space="preserve"> theme="0"/&gt;</w:t>
      </w:r>
      <w:r>
        <w:br/>
      </w:r>
      <w:r>
        <w:t xml:space="preserve">    &lt;/</w:t>
      </w:r>
      <w:hyperlink r:id="rId20">
        <w:r>
          <w:rPr>
            <w:rStyle w:val="Hyperlink"/>
          </w:rPr>
          <w:t>stop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  &lt;</w:t>
      </w:r>
      <w:hyperlink r:id="rId20">
        <w:r>
          <w:rPr>
            <w:rStyle w:val="Hyperlink"/>
          </w:rPr>
          <w:t>stop</w:t>
        </w:r>
      </w:hyperlink>
      <w:r>
        <w:t xml:space="preserve"> position="1"&gt;</w:t>
      </w:r>
      <w:r>
        <w:br/>
      </w:r>
      <w:r>
        <w:t xml:space="preserve">      &lt;</w:t>
      </w:r>
      <w:hyperlink r:id="rId17">
        <w:r>
          <w:rPr>
            <w:rStyle w:val="Hyperlink"/>
          </w:rPr>
          <w:t>color</w:t>
        </w:r>
      </w:hyperlink>
      <w:r>
        <w:t xml:space="preserve"> theme="4"/&gt;</w:t>
      </w:r>
      <w:r>
        <w:br/>
      </w:r>
      <w:r>
        <w:t xml:space="preserve">    &lt;/</w:t>
      </w:r>
      <w:hyperlink r:id="rId20">
        <w:r>
          <w:rPr>
            <w:rStyle w:val="Hyperlink"/>
          </w:rPr>
          <w:t>stop</w:t>
        </w:r>
      </w:hyperlink>
      <w:r>
        <w:t>&gt;</w:t>
      </w:r>
      <w:r>
        <w:br/>
      </w:r>
      <w:r>
        <w:t xml:space="preserve">  &lt;/gradientFill&gt;</w:t>
      </w:r>
      <w:r>
        <w:br/>
      </w:r>
      <w:r>
        <w:t>&lt;/</w:t>
      </w:r>
      <w:hyperlink r:id="rId18">
        <w:r>
          <w:rPr>
            <w:rStyle w:val="Hyperlink"/>
          </w:rPr>
          <w:t>fill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bb676081-15cf-4bb5-86e2-06588da580d3 \r \h">
              <w:r>
                <w:t>3.8.19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stop</w:t>
              </w:r>
            </w:hyperlink>
            <w:r>
              <w:t/>
            </w:r>
            <w:r>
              <w:t xml:space="preserve"> (Gradient Stop)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0d451fb-14c2-40ac-b4ad-2597ae8c2352 \r \h">
              <w:r>
                <w:t>3.8.38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(Bottom Convergence)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Valid values are 0 to 1. Specifies in percentage </w:t>
            </w:r>
            <w:hyperlink r:id="rId22">
              <w:r>
                <w:rPr>
                  <w:rStyle w:val="Hyperlink"/>
                </w:rPr>
                <w:t>format</w:t>
              </w:r>
            </w:hyperlink>
            <w:r>
              <w:t xml:space="preserve"> (from the top to the bottom) the position of the bottom edge of the inner rectangle (color 1). For </w:t>
            </w:r>
            <w:r>
              <w:t>bottom</w:t>
            </w:r>
            <w:r>
              <w:t xml:space="preserve">, 0 means the bottom edge of the inner rectangle is on the top edge of the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>, and 1 means it is on the bottom edge of the cell.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degree</w:t>
            </w:r>
            <w:r>
              <w:t xml:space="preserve"> (Linear Gradient Degree)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Angle of the linear gradient - </w:t>
            </w:r>
            <w:hyperlink r:id="rId24">
              <w:r>
                <w:rPr>
                  <w:rStyle w:val="Hyperlink"/>
                </w:rPr>
                <w:t>vertical</w:t>
              </w:r>
            </w:hyperlink>
            <w:r>
              <w:t xml:space="preserve">, </w:t>
            </w:r>
            <w:hyperlink r:id="rId25">
              <w:r>
                <w:rPr>
                  <w:rStyle w:val="Hyperlink"/>
                </w:rPr>
                <w:t>horizontal</w:t>
              </w:r>
            </w:hyperlink>
            <w:r>
              <w:t>, diagonal.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Note: in these examples,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1 is white and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 is blue.</w:t>
            </w:r>
          </w:p>
          <w:p w:rsidRDefault="008B2896" w:rsidP="002E5918" w:rsidR="008B2896"/>
          <w:p w:rsidRDefault="008B2896" w:rsidP="002E5918" w:rsidR="008B2896">
            <w:r>
              <w:t xml:space="preserve">90 = Horizontal &amp;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</w:t>
            </w:r>
          </w:p>
          <w:p w:rsidRDefault="008B2896" w:rsidP="002E5918" w:rsidR="008B2896">
            <w:r>
              <w:drawing>
                <wp:inline distR="0" distL="0" distB="0" distT="0">
                  <wp:extent cy="341630" cx="835025"/>
                  <wp:effectExtent b="1270" r="3175" t="0" l="0"/>
                  <wp:docPr name="Picture 49" id="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41630" cx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 xml:space="preserve">270 = Horizontal &amp;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</w:t>
            </w:r>
          </w:p>
          <w:p w:rsidRDefault="008B2896" w:rsidP="002E5918" w:rsidR="008B2896">
            <w:r>
              <w:drawing>
                <wp:inline distR="0" distL="0" distB="0" distT="0">
                  <wp:extent cy="334010" cx="787400"/>
                  <wp:effectExtent b="8890" r="0" t="0" l="0"/>
                  <wp:docPr name="Picture 48" id="4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34010" cx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 xml:space="preserve">0 = Vertical &amp;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</w:t>
            </w:r>
          </w:p>
          <w:p w:rsidRDefault="008B2896" w:rsidP="002E5918" w:rsidR="008B2896">
            <w:r>
              <w:drawing>
                <wp:inline distR="0" distL="0" distB="0" distT="0">
                  <wp:extent cy="389890" cx="882650"/>
                  <wp:effectExtent b="0" r="0" t="0" l="0"/>
                  <wp:docPr name="Picture 47" id="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9890" cx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 xml:space="preserve">180 = Vertical &amp;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</w:t>
            </w:r>
          </w:p>
          <w:p w:rsidRDefault="008B2896" w:rsidP="002E5918" w:rsidR="008B2896">
            <w:r>
              <w:drawing>
                <wp:inline distR="0" distL="0" distB="0" distT="0">
                  <wp:extent cy="374015" cx="787400"/>
                  <wp:effectExtent b="6985" r="0" t="0" l="0"/>
                  <wp:docPr name="Picture 46" id="4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74015" cx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 xml:space="preserve">45 = Diagonal Up &amp; top to bottom (color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2)</w:t>
            </w:r>
          </w:p>
          <w:p w:rsidRDefault="008B2896" w:rsidP="002E5918" w:rsidR="008B2896"/>
          <w:p w:rsidRDefault="008B2896" w:rsidP="002E5918" w:rsidR="008B2896">
            <w:r>
              <w:t xml:space="preserve">225 = Diagonal Up &amp; bottom to top (color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2)</w:t>
            </w:r>
          </w:p>
          <w:p w:rsidRDefault="008B2896" w:rsidP="002E5918" w:rsidR="008B2896">
            <w:r>
              <w:t xml:space="preserve">135 = Diagonal Down &amp; top to bottom (color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2)</w:t>
            </w:r>
          </w:p>
          <w:p w:rsidRDefault="008B2896" w:rsidP="002E5918" w:rsidR="008B2896">
            <w:r>
              <w:t xml:space="preserve">315 = Diagonal Down &amp; bottom to top (color 1 to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2)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6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Convergence)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Valid values are 0 to 1. Specifies in percentage </w:t>
            </w:r>
            <w:hyperlink r:id="rId22">
              <w:r>
                <w:rPr>
                  <w:rStyle w:val="Hyperlink"/>
                </w:rPr>
                <w:t>format</w:t>
              </w:r>
            </w:hyperlink>
            <w:r>
              <w:t xml:space="preserve"> (from the left to the right) the position of the left edge of the inner rectangle (color 1). For </w:t>
            </w:r>
            <w:r>
              <w:t>left</w:t>
            </w:r>
            <w:r>
              <w:t xml:space="preserve">, 0 means the left edge of the inner rectangle is on the left edge of the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>, and 1 means it is on the right edge of the cell. (applies to From Corner and From Center gradients).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7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Convergence)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Valid values are 0 to 1. Specifies in percentage </w:t>
            </w:r>
            <w:hyperlink r:id="rId22">
              <w:r>
                <w:rPr>
                  <w:rStyle w:val="Hyperlink"/>
                </w:rPr>
                <w:t>format</w:t>
              </w:r>
            </w:hyperlink>
            <w:r>
              <w:t xml:space="preserve"> (from the left to the right) the position of the right edge of the inner rectangle (color 1). For </w:t>
            </w:r>
            <w:r>
              <w:t>right</w:t>
            </w:r>
            <w:r>
              <w:t xml:space="preserve">, 0 means the right edge of the inner rectangle is on the left edge of the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>, and 1 means it is on the right edge of the cell. (applies to From Corner and From Center gradients).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8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(Top Gradient Convergence)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Valid values are 0 to 1. Specifies in percentage </w:t>
            </w:r>
            <w:hyperlink r:id="rId22">
              <w:r>
                <w:rPr>
                  <w:rStyle w:val="Hyperlink"/>
                </w:rPr>
                <w:t>format</w:t>
              </w:r>
            </w:hyperlink>
            <w:r>
              <w:t xml:space="preserve"> (from the top to the bottom) the position of the top edge of the inner rectangle (color 1). For </w:t>
            </w:r>
            <w:r>
              <w:t>top</w:t>
            </w:r>
            <w:r>
              <w:t xml:space="preserve">, 0 means the top edge of the inner rectangle is on the top edge of the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>, and 1 means it is on the bottom edge of the cell. (applies to From Corner and From Center gradients).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(Gradient Fill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Type of this gradient fill.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9">
              <w:r>
                <w:rPr>
                  <w:rStyle w:val="Hyperlink"/>
                </w:rPr>
                <w:t>ST_GradientType</w:t>
              </w:r>
            </w:hyperlink>
            <w:r>
              <w:t/>
            </w:r>
            <w:r>
              <w:t xml:space="preserve"> simple type (§</w:t>
            </w:r>
            <w:fldSimple w:instr="REF book5859409c-aa1d-4466-9fa6-9471d1a59bd3 \r \h">
              <w:r>
                <w:t>3.18.38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="CT_GradientFill"&gt;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stop</w:t>
        </w:r>
      </w:hyperlink>
      <w:r>
        <w:t>" type="CT_GradientStop"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29">
        <w:r>
          <w:rPr>
            <w:rStyle w:val="Hyperlink"/>
          </w:rPr>
          <w:t>ST_GradientType</w:t>
        </w:r>
      </w:hyperlink>
      <w:r>
        <w:t>" use="optional" default="linear"/&gt;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name="degree"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name="left"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name="right"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name="top"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name="bottom" type="xsd:double"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8.png"></Relationship><Relationship Id="rId9" Type="http://schemas.openxmlformats.org/officeDocument/2006/relationships/image" Target="media/image79.png"></Relationship><Relationship Id="rId10" Type="http://schemas.openxmlformats.org/officeDocument/2006/relationships/image" Target="media/image80.png"></Relationship><Relationship Id="rId11" Type="http://schemas.openxmlformats.org/officeDocument/2006/relationships/image" Target="media/image81.png"></Relationship><Relationship Id="rId12" Type="http://schemas.openxmlformats.org/officeDocument/2006/relationships/image" Target="media/image82.png"></Relationship><Relationship Id="rId13" Type="http://schemas.openxmlformats.org/officeDocument/2006/relationships/image" Target="media/image83.png"></Relationship><Relationship Id="rId14" Type="http://schemas.openxmlformats.org/officeDocument/2006/relationships/hyperlink" Target="cell.docx" TargetMode="External"/><Relationship Id="rId15" Type="http://schemas.openxmlformats.org/officeDocument/2006/relationships/hyperlink" Target="fills.docx" TargetMode="External"/><Relationship Id="rId16" Type="http://schemas.openxmlformats.org/officeDocument/2006/relationships/hyperlink" Target="colors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fill.docx" TargetMode="External"/><Relationship Id="rId19" Type="http://schemas.openxmlformats.org/officeDocument/2006/relationships/hyperlink" Target="is.docx" TargetMode="External"/><Relationship Id="rId20" Type="http://schemas.openxmlformats.org/officeDocument/2006/relationships/hyperlink" Target="stop.docx" TargetMode="External"/><Relationship Id="rId21" Type="http://schemas.openxmlformats.org/officeDocument/2006/relationships/hyperlink" Target="bottom.docx" TargetMode="External"/><Relationship Id="rId22" Type="http://schemas.openxmlformats.org/officeDocument/2006/relationships/hyperlink" Target="format.docx" TargetMode="External"/><Relationship Id="rId23" Type="http://schemas.openxmlformats.org/officeDocument/2006/relationships/hyperlink" Target="Schema.docx" TargetMode="External"/><Relationship Id="rId24" Type="http://schemas.openxmlformats.org/officeDocument/2006/relationships/hyperlink" Target="vertical.docx" TargetMode="External"/><Relationship Id="rId25" Type="http://schemas.openxmlformats.org/officeDocument/2006/relationships/hyperlink" Target="horizontal.docx" TargetMode="External"/><Relationship Id="rId26" Type="http://schemas.openxmlformats.org/officeDocument/2006/relationships/hyperlink" Target="left.docx" TargetMode="External"/><Relationship Id="rId27" Type="http://schemas.openxmlformats.org/officeDocument/2006/relationships/hyperlink" Target="right.docx" TargetMode="External"/><Relationship Id="rId28" Type="http://schemas.openxmlformats.org/officeDocument/2006/relationships/hyperlink" Target="top.docx" TargetMode="External"/><Relationship Id="rId29" Type="http://schemas.openxmlformats.org/officeDocument/2006/relationships/hyperlink" Target="ST_GradientType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