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Toc147896865_1" w:id="100001"/>
      <w:bookmarkStart w:name="book74e1aae2-d2cd-4ef9-93a7-49b5aa31d596_1" w:id="100002"/>
      <w:r>
        <w:t>format</w:t>
      </w:r>
      <w:r>
        <w:t xml:space="preserve"> (PivotTable Format)</w:t>
      </w:r>
      <w:bookmarkEnd w:id="100001"/>
    </w:p>
    <w:bookmarkEnd w:id="100002"/>
    <w:p w:rsidRDefault="008B2896" w:rsidP="008B2896" w:rsidR="008B2896">
      <w:r>
        <w:t>Represents the format defined in the PivotTable.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8">
              <w:r>
                <w:rPr>
                  <w:rStyle w:val="Hyperlink"/>
                </w:rPr>
                <w:t>formats</w:t>
              </w:r>
            </w:hyperlink>
            <w:r>
              <w:t/>
            </w:r>
            <w:r>
              <w:t xml:space="preserve"> (§</w:t>
            </w:r>
            <w:fldSimple w:instr="REF bookdaa9af00-7446-4e89-8376-7a4528ad66ae \r \h">
              <w:r>
                <w:t>3.10.1.36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8B2896">
        <w:trPr>
          <w:cnfStyle w:val="100000000000"/>
        </w:trPr>
        <w:tc>
          <w:tcPr>
            <w:tcW w:type="pct" w:w="4500"/>
          </w:tcPr>
          <w:p w:rsidRDefault="008B2896" w:rsidP="002E5918" w:rsidR="008B2896">
            <w:r>
              <w:t>Child Elements</w:t>
            </w:r>
          </w:p>
        </w:tc>
        <w:tc>
          <w:tcPr>
            <w:tcW w:type="pct" w:w="500"/>
          </w:tcPr>
          <w:p w:rsidRDefault="008B2896" w:rsidP="002E5918" w:rsidR="008B2896">
            <w:r>
              <w:t>Subclause</w:t>
            </w:r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extLst</w:t>
              </w:r>
            </w:hyperlink>
            <w:r>
              <w:t/>
            </w:r>
            <w:r>
              <w:t xml:space="preserve"> (Future Feature Data Storage Area)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d8b83fed-a43e-4ac7-8bab-09d4d95f2086 \r \h">
              <w:r>
                <w:t>3.2.10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0">
              <w:r>
                <w:rPr>
                  <w:rStyle w:val="Hyperlink"/>
                </w:rPr>
                <w:t>pivotArea</w:t>
              </w:r>
            </w:hyperlink>
            <w:r>
              <w:t/>
            </w:r>
            <w:r>
              <w:t xml:space="preserve"> (Pivot Area)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11641ef3-f92d-46bc-9088-0e5fd88eb549 \r \h">
              <w:r>
                <w:t>3.3.1.66</w:t>
              </w:r>
            </w:fldSimple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action</w:t>
            </w:r>
            <w:r>
              <w:t xml:space="preserve"> (Format Action)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Specifies the formatting behavior for the area indicated in the </w:t>
            </w:r>
            <w:r>
              <w:t/>
            </w:r>
            <w:hyperlink r:id="rId10">
              <w:r>
                <w:rPr>
                  <w:rStyle w:val="Hyperlink"/>
                </w:rPr>
                <w:t>pivotArea</w:t>
              </w:r>
            </w:hyperlink>
            <w:r>
              <w:t/>
            </w:r>
            <w:r>
              <w:t xml:space="preserve"> element. The default value for this attribute is "formatting," which indicates that the specified cells have some formatting applied. The format is specified in the </w:t>
            </w:r>
            <w:r>
              <w:t>dxfId</w:t>
            </w:r>
            <w:r>
              <w:t xml:space="preserve"> attribute. If the formatting is cleared from the cells, then the value of this attribute becomes "blank."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11">
              <w:r>
                <w:rPr>
                  <w:rStyle w:val="Hyperlink"/>
                </w:rPr>
                <w:t>ST_FormatAction</w:t>
              </w:r>
            </w:hyperlink>
            <w:r>
              <w:t/>
            </w:r>
            <w:r>
              <w:t xml:space="preserve"> simple type (§</w:t>
            </w:r>
            <w:fldSimple w:instr="REF bookc528e0e0-174a-4a30-b54b-b048eae6ba70 \r \h">
              <w:r>
                <w:t>3.18.35</w:t>
              </w:r>
            </w:fldSimple>
            <w:r>
              <w:t>).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dxfId</w:t>
            </w:r>
            <w:r>
              <w:t xml:space="preserve"> (Format Id)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Specifies the identifier of the format the application is currently using for the PivotTable. Formatting information is written to the styles part. See the </w:t>
            </w:r>
            <w:hyperlink r:id="rId12">
              <w:r>
                <w:rPr>
                  <w:rStyle w:val="Hyperlink"/>
                </w:rPr>
                <w:t>Styles</w:t>
              </w:r>
            </w:hyperlink>
            <w:r>
              <w:t xml:space="preserve"> section (§</w:t>
            </w:r>
            <w:fldSimple w:instr=" REF TOCSection53 \w \h ">
              <w:r>
                <w:t>3.8</w:t>
              </w:r>
            </w:fldSimple>
            <w:r>
              <w:t>) for more information on formats.</w:t>
            </w:r>
          </w:p>
          <w:p w:rsidRDefault="008B2896" w:rsidP="002E5918" w:rsidR="008B2896"/>
          <w:p w:rsidRDefault="008B2896" w:rsidP="002E5918" w:rsidR="008B2896">
            <w:r>
              <w:t xml:space="preserve">Note: Formatting information provided by </w:t>
            </w:r>
            <w:hyperlink r:id="rId13">
              <w:r>
                <w:rPr>
                  <w:rStyle w:val="Hyperlink"/>
                </w:rPr>
                <w:t>cell</w:t>
              </w:r>
            </w:hyperlink>
            <w:r>
              <w:t xml:space="preserve"> </w:t>
            </w:r>
            <w:hyperlink r:id="rId14">
              <w:r>
                <w:rPr>
                  <w:rStyle w:val="Hyperlink"/>
                </w:rPr>
                <w:t>table</w:t>
              </w:r>
            </w:hyperlink>
            <w:r>
              <w:t xml:space="preserve"> and by PivotTable need not agree. If the two </w:t>
            </w:r>
            <w:hyperlink r:id="rId8">
              <w:r>
                <w:rPr>
                  <w:rStyle w:val="Hyperlink"/>
                </w:rPr>
                <w:t>formats</w:t>
              </w:r>
            </w:hyperlink>
            <w:r>
              <w:t xml:space="preserve"> differ, the cell-level formatting takes precedence. If you change the  layout the PivotTable, the PivotTable formatting will then take precedence.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15">
              <w:r>
                <w:rPr>
                  <w:rStyle w:val="Hyperlink"/>
                </w:rPr>
                <w:t>ST_DxfId</w:t>
              </w:r>
            </w:hyperlink>
            <w:r>
              <w:t/>
            </w:r>
            <w:r>
              <w:t xml:space="preserve"> simple type (§</w:t>
            </w:r>
            <w:fldSimple w:instr="REF bookc9083d27-47d3-4a0d-9e0e-011277f2cc67 \r \h">
              <w:r>
                <w:t>3.18.26</w:t>
              </w:r>
            </w:fldSimple>
            <w:r>
              <w:t>).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6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7">
        <w:r>
          <w:rPr>
            <w:rStyle w:val="Hyperlink"/>
          </w:rPr>
          <w:t>name</w:t>
        </w:r>
      </w:hyperlink>
      <w:r>
        <w:t>="CT_Format"&gt;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7">
        <w:r>
          <w:rPr>
            <w:rStyle w:val="Hyperlink"/>
          </w:rPr>
          <w:t>name</w:t>
        </w:r>
      </w:hyperlink>
      <w:r>
        <w:t>="</w:t>
      </w:r>
      <w:hyperlink r:id="rId10">
        <w:r>
          <w:rPr>
            <w:rStyle w:val="Hyperlink"/>
          </w:rPr>
          <w:t>pivotArea</w:t>
        </w:r>
      </w:hyperlink>
      <w:r>
        <w:t>" type="CT_PivotArea"/&gt;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7">
        <w:r>
          <w:rPr>
            <w:rStyle w:val="Hyperlink"/>
          </w:rPr>
          <w:t>name</w:t>
        </w:r>
      </w:hyperlink>
      <w:r>
        <w:t>="</w:t>
      </w:r>
      <w:hyperlink r:id="rId9">
        <w:r>
          <w:rPr>
            <w:rStyle w:val="Hyperlink"/>
          </w:rPr>
          <w:t>extLst</w:t>
        </w:r>
      </w:hyperlink>
      <w:r>
        <w:t>" minOccurs="0" type="CT_ExtensionList"/&gt;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7">
        <w:r>
          <w:rPr>
            <w:rStyle w:val="Hyperlink"/>
          </w:rPr>
          <w:t>name</w:t>
        </w:r>
      </w:hyperlink>
      <w:r>
        <w:t>="action" type="</w:t>
      </w:r>
      <w:hyperlink r:id="rId11">
        <w:r>
          <w:rPr>
            <w:rStyle w:val="Hyperlink"/>
          </w:rPr>
          <w:t>ST_FormatAction</w:t>
        </w:r>
      </w:hyperlink>
      <w:r>
        <w:t>" default="formatting"/&gt;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7">
        <w:r>
          <w:rPr>
            <w:rStyle w:val="Hyperlink"/>
          </w:rPr>
          <w:t>name</w:t>
        </w:r>
      </w:hyperlink>
      <w:r>
        <w:t>="dxfId" type="</w:t>
      </w:r>
      <w:hyperlink r:id="rId15">
        <w:r>
          <w:rPr>
            <w:rStyle w:val="Hyperlink"/>
          </w:rPr>
          <w:t>ST_DxfId</w:t>
        </w:r>
      </w:hyperlink>
      <w:r>
        <w:t>" use="optional"/&gt;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formats.docx" TargetMode="External"/><Relationship Id="rId9" Type="http://schemas.openxmlformats.org/officeDocument/2006/relationships/hyperlink" Target="extLst.docx" TargetMode="External"/><Relationship Id="rId10" Type="http://schemas.openxmlformats.org/officeDocument/2006/relationships/hyperlink" Target="pivotArea.docx" TargetMode="External"/><Relationship Id="rId11" Type="http://schemas.openxmlformats.org/officeDocument/2006/relationships/hyperlink" Target="ST_FormatAction.docx" TargetMode="External"/><Relationship Id="rId12" Type="http://schemas.openxmlformats.org/officeDocument/2006/relationships/hyperlink" Target="Styles.docx" TargetMode="External"/><Relationship Id="rId13" Type="http://schemas.openxmlformats.org/officeDocument/2006/relationships/hyperlink" Target="cell.docx" TargetMode="External"/><Relationship Id="rId14" Type="http://schemas.openxmlformats.org/officeDocument/2006/relationships/hyperlink" Target="table.docx" TargetMode="External"/><Relationship Id="rId15" Type="http://schemas.openxmlformats.org/officeDocument/2006/relationships/hyperlink" Target="ST_DxfId.docx" TargetMode="External"/><Relationship Id="rId16" Type="http://schemas.openxmlformats.org/officeDocument/2006/relationships/hyperlink" Target="Schema.docx" TargetMode="External"/><Relationship Id="rId17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