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93_1" w:id="100001"/>
      <w:bookmarkStart w:name="bookfee15712-dda1-4159-9483-001ef83d5378_1" w:id="100002"/>
      <w:r>
        <w:t>ext</w:t>
      </w:r>
      <w:r>
        <w:t xml:space="preserve"> (Extension)</w:t>
      </w:r>
      <w:bookmarkEnd w:id="100001"/>
    </w:p>
    <w:bookmarkEnd w:id="100002"/>
    <w:p w:rsidRDefault="008B2896" w:rsidP="008B2896" w:rsidR="008B2896">
      <w:r>
        <w:t xml:space="preserve">Each </w:t>
      </w:r>
      <w:r>
        <w:t>ext</w:t>
      </w:r>
      <w:r>
        <w:t xml:space="preserve"> element contains extensions to the standard SpreadsheetML feature set.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(§</w:t>
            </w:r>
            <w:fldSimple w:instr="REF bookd8b83fed-a43e-4ac7-8bab-09d4d95f2086 \r \h">
              <w:r>
                <w:t>3.2.10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>Any element from any namespace</w:t>
            </w:r>
          </w:p>
        </w:tc>
        <w:tc>
          <w:tcPr>
            <w:tcW w:type="pct" w:w="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</w:t>
              </w:r>
            </w:hyperlink>
            <w:r>
              <w:t>/a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uri</w:t>
            </w:r>
            <w:r>
              <w:t xml:space="preserve"> (URI)</w:t>
            </w:r>
          </w:p>
        </w:tc>
        <w:tc>
          <w:tcPr>
            <w:tcW w:type="pct" w:w="4000"/>
          </w:tcPr>
          <w:p w:rsidRDefault="008B2896" w:rsidP="002E5918" w:rsidR="008B2896">
            <w:r>
              <w:t>A token to identify version and application information for this particular extension.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token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="CT_Extension"&gt;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&lt;any processContents="lax"/&gt;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="uri" type="xsd:token"/&gt;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n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