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628_1" w:id="100001"/>
      <w:bookmarkStart w:name="book52b65ae7-58c5-4dfb-8f88-1c6fdb9faac6_1" w:id="100002"/>
      <w:r>
        <w:t>cfvo</w:t>
      </w:r>
      <w:r>
        <w:t xml:space="preserve"> (Conditional Format Value Object)</w:t>
      </w:r>
      <w:bookmarkEnd w:id="100001"/>
    </w:p>
    <w:bookmarkEnd w:id="100002"/>
    <w:p w:rsidRDefault="008B2896" w:rsidP="008B2896" w:rsidR="008B2896">
      <w:r>
        <w:t>Describes the values of the interpolation points in a gradient scale.</w:t>
      </w:r>
    </w:p>
    <w:p w:rsidRDefault="008B2896" w:rsidP="008B2896" w:rsidR="008B2896">
      <w:r>
        <w:t>[</w:t>
      </w:r>
      <w:r>
        <w:t>Example</w:t>
      </w:r>
      <w:r>
        <w:t>:</w:t>
      </w:r>
      <w:r>
        <w:t xml:space="preserve"> </w:t>
      </w:r>
      <w:r>
        <w:t xml:space="preserve">This example demonstrates a </w:t>
      </w:r>
      <w:hyperlink r:id="rId8">
        <w:r>
          <w:rPr>
            <w:rStyle w:val="Hyperlink"/>
          </w:rPr>
          <w:t>color</w:t>
        </w:r>
      </w:hyperlink>
      <w:r>
        <w:t xml:space="preserve"> scale conditional formatting rule, which defines a </w:t>
      </w:r>
      <w:hyperlink r:id="rId8">
        <w:r>
          <w:rPr>
            <w:rStyle w:val="Hyperlink"/>
          </w:rPr>
          <w:t>color</w:t>
        </w:r>
      </w:hyperlink>
      <w:r>
        <w:t xml:space="preserve"> for the minimum value in the range of </w:t>
      </w:r>
      <w:hyperlink r:id="rId9">
        <w:r>
          <w:rPr>
            <w:rStyle w:val="Hyperlink"/>
          </w:rPr>
          <w:t>cell</w:t>
        </w:r>
      </w:hyperlink>
      <w:r>
        <w:t xml:space="preserve"> values, a </w:t>
      </w:r>
      <w:hyperlink r:id="rId8">
        <w:r>
          <w:rPr>
            <w:rStyle w:val="Hyperlink"/>
          </w:rPr>
          <w:t>color</w:t>
        </w:r>
      </w:hyperlink>
      <w:r>
        <w:t xml:space="preserve"> for the midpoint value, and a </w:t>
      </w:r>
      <w:hyperlink r:id="rId8">
        <w:r>
          <w:rPr>
            <w:rStyle w:val="Hyperlink"/>
          </w:rPr>
          <w:t>color</w:t>
        </w:r>
      </w:hyperlink>
      <w:r>
        <w:t xml:space="preserve"> for the maximum value in the in the range of </w:t>
      </w:r>
      <w:hyperlink r:id="rId9">
        <w:r>
          <w:rPr>
            <w:rStyle w:val="Hyperlink"/>
          </w:rPr>
          <w:t>cell</w:t>
        </w:r>
      </w:hyperlink>
      <w:r>
        <w:t xml:space="preserve"> values. Information is given about how to define the midpoint. In this case, it is the 50 percent mark.</w:t>
      </w:r>
    </w:p>
    <w:p w:rsidRDefault="008B2896" w:rsidP="008B2896" w:rsidR="008B2896">
      <w:pPr>
        <w:pStyle w:val="c"/>
      </w:pPr>
      <w:r>
        <w:t>&lt;</w:t>
      </w:r>
      <w:hyperlink r:id="rId10">
        <w:r>
          <w:rPr>
            <w:rStyle w:val="Hyperlink"/>
          </w:rPr>
          <w:t>colorScale</w:t>
        </w:r>
      </w:hyperlink>
      <w:r>
        <w:t>&gt;</w:t>
      </w:r>
      <w:r>
        <w:br/>
      </w:r>
      <w:r>
        <w:t xml:space="preserve">  &lt;cfvo type="min" </w:t>
      </w:r>
      <w:hyperlink r:id="rId11">
        <w:r>
          <w:rPr>
            <w:rStyle w:val="Hyperlink"/>
          </w:rPr>
          <w:t>val</w:t>
        </w:r>
      </w:hyperlink>
      <w:r>
        <w:t>="0"/&gt;</w:t>
      </w:r>
      <w:r>
        <w:br/>
      </w:r>
      <w:r>
        <w:t xml:space="preserve">  </w:t>
      </w:r>
      <w:r>
        <w:t xml:space="preserve">&lt;cfvo type="percent" </w:t>
      </w:r>
      <w:hyperlink r:id="rId11">
        <w:r>
          <w:rPr>
            <w:rStyle w:val="Hyperlink"/>
          </w:rPr>
          <w:t>val</w:t>
        </w:r>
      </w:hyperlink>
      <w:r>
        <w:t>="50"/&gt;</w:t>
      </w:r>
      <w:r>
        <w:br/>
      </w:r>
      <w:r>
        <w:t xml:space="preserve">  &lt;cfvo type="max" </w:t>
      </w:r>
      <w:hyperlink r:id="rId11">
        <w:r>
          <w:rPr>
            <w:rStyle w:val="Hyperlink"/>
          </w:rPr>
          <w:t>val</w:t>
        </w:r>
      </w:hyperlink>
      <w:r>
        <w:t>="0"/&gt;</w:t>
      </w:r>
      <w:r>
        <w:br/>
      </w:r>
      <w:r>
        <w:t xml:space="preserve">  &lt;</w:t>
      </w:r>
      <w:hyperlink r:id="rId8">
        <w:r>
          <w:rPr>
            <w:rStyle w:val="Hyperlink"/>
          </w:rPr>
          <w:t>color</w:t>
        </w:r>
      </w:hyperlink>
      <w:r>
        <w:t xml:space="preserve"> rgb="FFFF0000"/&gt;</w:t>
      </w:r>
      <w:r>
        <w:br/>
      </w:r>
      <w:r>
        <w:t xml:space="preserve">  &lt;</w:t>
      </w:r>
      <w:hyperlink r:id="rId8">
        <w:r>
          <w:rPr>
            <w:rStyle w:val="Hyperlink"/>
          </w:rPr>
          <w:t>color</w:t>
        </w:r>
      </w:hyperlink>
      <w:r>
        <w:t xml:space="preserve"> rgb="FFFFFF00"/&gt;</w:t>
      </w:r>
      <w:r>
        <w:br/>
      </w:r>
      <w:r>
        <w:t xml:space="preserve">  &lt;</w:t>
      </w:r>
      <w:hyperlink r:id="rId8">
        <w:r>
          <w:rPr>
            <w:rStyle w:val="Hyperlink"/>
          </w:rPr>
          <w:t>color</w:t>
        </w:r>
      </w:hyperlink>
      <w:r>
        <w:t xml:space="preserve"> rgb="FF00B050"/&gt;</w:t>
      </w:r>
      <w:r>
        <w:br/>
      </w:r>
      <w:r>
        <w:t>&lt;/</w:t>
      </w:r>
      <w:hyperlink r:id="rId10">
        <w:r>
          <w:rPr>
            <w:rStyle w:val="Hyperlink"/>
          </w:rPr>
          <w:t>colorScale</w:t>
        </w:r>
      </w:hyperlink>
      <w:r>
        <w:t>&gt;</w:t>
      </w:r>
    </w:p>
    <w:p w:rsidRDefault="008B2896" w:rsidP="008B2896" w:rsidR="008B2896">
      <w:r>
        <w:t>The first &lt;</w:t>
      </w:r>
      <w:r>
        <w:t>cfvo&gt;</w:t>
      </w:r>
      <w:r>
        <w:t xml:space="preserve"> element corresponds with the first </w:t>
      </w:r>
      <w:r>
        <w:t>&lt;</w:t>
      </w:r>
      <w:hyperlink r:id="rId8">
        <w:r>
          <w:rPr>
            <w:rStyle w:val="Hyperlink"/>
          </w:rPr>
          <w:t>color</w:t>
        </w:r>
      </w:hyperlink>
      <w:r>
        <w:t xml:space="preserve">&gt; </w:t>
      </w:r>
      <w:r>
        <w:t>definition, and so on.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colorScale</w:t>
              </w:r>
            </w:hyperlink>
            <w:r>
              <w:t/>
            </w:r>
            <w:r>
              <w:t xml:space="preserve"> (§</w:t>
            </w:r>
            <w:fldSimple w:instr="REF book137f875a-bf15-474a-ad7b-db5178ba437e \r \h">
              <w:r>
                <w:t>3.3.1.15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dataBar</w:t>
              </w:r>
            </w:hyperlink>
            <w:r>
              <w:t/>
            </w:r>
            <w:r>
              <w:t xml:space="preserve"> (§</w:t>
            </w:r>
            <w:fldSimple w:instr="REF bookf979d5b5-06b2-478e-8f02-db0b997cb905 \r \h">
              <w:r>
                <w:t>3.3.1.26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iconSet</w:t>
              </w:r>
            </w:hyperlink>
            <w:r>
              <w:t/>
            </w:r>
            <w:r>
              <w:t xml:space="preserve"> (§</w:t>
            </w:r>
            <w:fldSimple w:instr="REF book911b1282-7dba-4ee4-a43f-221860445d06 \r \h">
              <w:r>
                <w:t>3.3.1.46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4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(Future Feature Data Storage Area)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8b83fed-a43e-4ac7-8bab-09d4d95f2086 \r \h">
              <w:r>
                <w:t>3.2.10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gte</w:t>
            </w:r>
            <w:r>
              <w:t xml:space="preserve"> (Greater Than Or Equal)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For icon </w:t>
            </w:r>
            <w:hyperlink r:id="rId15">
              <w:r>
                <w:rPr>
                  <w:rStyle w:val="Hyperlink"/>
                </w:rPr>
                <w:t>sets</w:t>
              </w:r>
            </w:hyperlink>
            <w:r>
              <w:t>, determines whether this threshold value uses the greater than or equal to operator. '0' indicates 'greater than' is used instead of 'greater than or equal to'.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6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type</w:t>
            </w:r>
            <w:r>
              <w:t xml:space="preserve"> (Type)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The type of this conditional formatting value object. For example 'min' and 'max' would be used (in conjunction with </w:t>
            </w:r>
            <w:r>
              <w:t>@val</w:t>
            </w:r>
            <w:r>
              <w:t>) to express the lower and upper values to be used in a gradient.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ST_CfvoType</w:t>
              </w:r>
            </w:hyperlink>
            <w:r>
              <w:t/>
            </w:r>
            <w:r>
              <w:t xml:space="preserve"> simple type (§</w:t>
            </w:r>
            <w:fldSimple w:instr="REF booke4c7d156-967e-4f63-9ddc-0c3f08483ec4 \r \h">
              <w:r>
                <w:t>3.18.14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(Value)</w:t>
            </w:r>
          </w:p>
        </w:tc>
        <w:tc>
          <w:tcPr>
            <w:tcW w:type="pct" w:w="4000"/>
          </w:tcPr>
          <w:p w:rsidRDefault="008B2896" w:rsidP="002E5918" w:rsidR="008B2896">
            <w:r>
              <w:t>The value of this conditional formatting value object.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8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6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9">
        <w:r>
          <w:rPr>
            <w:rStyle w:val="Hyperlink"/>
          </w:rPr>
          <w:t>name</w:t>
        </w:r>
      </w:hyperlink>
      <w:r>
        <w:t>="CT_Cfvo"&gt;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9">
        <w:r>
          <w:rPr>
            <w:rStyle w:val="Hyperlink"/>
          </w:rPr>
          <w:t>name</w:t>
        </w:r>
      </w:hyperlink>
      <w:r>
        <w:t>="type" type="</w:t>
      </w:r>
      <w:hyperlink r:id="rId17">
        <w:r>
          <w:rPr>
            <w:rStyle w:val="Hyperlink"/>
          </w:rPr>
          <w:t>ST_CfvoType</w:t>
        </w:r>
      </w:hyperlink>
      <w:r>
        <w:t>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9">
        <w:r>
          <w:rPr>
            <w:rStyle w:val="Hyperlink"/>
          </w:rPr>
          <w:t>name</w:t>
        </w:r>
      </w:hyperlink>
      <w:r>
        <w:t>="</w:t>
      </w:r>
      <w:hyperlink r:id="rId11">
        <w:r>
          <w:rPr>
            <w:rStyle w:val="Hyperlink"/>
          </w:rPr>
          <w:t>val</w:t>
        </w:r>
      </w:hyperlink>
      <w:r>
        <w:t>" type="</w:t>
      </w:r>
      <w:hyperlink r:id="rId18">
        <w:r>
          <w:rPr>
            <w:rStyle w:val="Hyperlink"/>
          </w:rPr>
          <w:t>ST_Xstring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name="gte" type="xsd:boolean" use="optional" default="true"/&gt;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olor.docx" TargetMode="External"/><Relationship Id="rId9" Type="http://schemas.openxmlformats.org/officeDocument/2006/relationships/hyperlink" Target="cell.docx" TargetMode="External"/><Relationship Id="rId10" Type="http://schemas.openxmlformats.org/officeDocument/2006/relationships/hyperlink" Target="colorScale.docx" TargetMode="External"/><Relationship Id="rId11" Type="http://schemas.openxmlformats.org/officeDocument/2006/relationships/hyperlink" Target="val.docx" TargetMode="External"/><Relationship Id="rId12" Type="http://schemas.openxmlformats.org/officeDocument/2006/relationships/hyperlink" Target="dataBar.docx" TargetMode="External"/><Relationship Id="rId13" Type="http://schemas.openxmlformats.org/officeDocument/2006/relationships/hyperlink" Target="iconSet.docx" TargetMode="External"/><Relationship Id="rId14" Type="http://schemas.openxmlformats.org/officeDocument/2006/relationships/hyperlink" Target="extLst.docx" TargetMode="External"/><Relationship Id="rId15" Type="http://schemas.openxmlformats.org/officeDocument/2006/relationships/hyperlink" Target="sets.docx" TargetMode="External"/><Relationship Id="rId16" Type="http://schemas.openxmlformats.org/officeDocument/2006/relationships/hyperlink" Target="Schema.docx" TargetMode="External"/><Relationship Id="rId17" Type="http://schemas.openxmlformats.org/officeDocument/2006/relationships/hyperlink" Target="ST_CfvoType.docx" TargetMode="External"/><Relationship Id="rId18" Type="http://schemas.openxmlformats.org/officeDocument/2006/relationships/hyperlink" Target="ST_Xstring.docx" TargetMode="External"/><Relationship Id="rId1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