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76.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10"/>
    <w:bookmarkStart w:name="1_bookmark9"/>
    <w:bookmarkStart w:name="1_bookmark8"/>
    <w:bookmarkStart w:name="1_bookmark7"/>
    <w:p w:rsidRDefault="008B2896" w:rsidP="008B2896" w:rsidR="008B2896">
      <w:pPr>
        <w:pStyle w:val="Heading4"/>
        <w:numPr>
          <w:ilvl w:val="0"/>
          <w:numId w:val="0"/>
        </w:numPr>
      </w:pPr>
      <w:bookmarkStart w:name="_Toc142462386_1" w:id="100001"/>
      <w:bookmarkStart w:name="_Toc147897388_1" w:id="100002"/>
      <w:r>
        <w:t>XNPV</w:t>
      </w:r>
      <w:bookmarkStart w:name="_Ref130650585_1" w:id="100003"/>
      <w:bookmarkStart w:name="_Toc133292358_1" w:id="100004"/>
      <w:bookmarkStart w:name="_Ref133905563_1" w:id="100005"/>
      <w:bookmarkStart w:name="_Toc133915288_1" w:id="100006"/>
      <w:bookmarkEnd w:id="100007"/>
      <w:bookmarkEnd w:id="100008"/>
      <w:bookmarkEnd w:id="100009"/>
      <w:bookmarkEnd w:id="100010"/>
      <w:bookmarkEnd w:id="100001"/>
      <w:bookmarkEnd w:id="100002"/>
      <w:r>
        <w:fldChar w:fldCharType="begin"/>
      </w:r>
      <w:r>
        <w:instrText xml:space="preserve"> XE "XNPV SpreadsheetML function" \b </w:instrText>
      </w:r>
      <w:r>
        <w:fldChar w:fldCharType="end"/>
      </w:r>
    </w:p>
    <w:p w:rsidRDefault="008B2896" w:rsidP="008B2896" w:rsidR="008B2896">
      <w:pPr>
        <w:pStyle w:val="Grammar"/>
        <w:rPr>
          <w:rStyle w:val="Terminal"/>
        </w:rPr>
      </w:pPr>
      <w:r>
        <w:t>XNPV</w:t>
      </w:r>
      <w:r>
        <w:t xml:space="preserve">  </w:t>
      </w:r>
      <w:r>
        <w:t>(</w:t>
      </w:r>
      <w:r>
        <w:t xml:space="preserve"> rate  </w:t>
      </w:r>
      <w:r>
        <w:t>,</w:t>
      </w:r>
      <w:r>
        <w:t xml:space="preserve">   values  ,  dates  </w:t>
      </w:r>
      <w:r>
        <w:t>)</w:t>
      </w:r>
    </w:p>
    <w:p w:rsidRDefault="008B2896" w:rsidP="008B2896" w:rsidR="008B2896">
      <w:r>
        <w:t>Description: Computes the net present value for a schedule of cash flows that is not necessarily periodic.</w:t>
      </w:r>
    </w:p>
    <w:p w:rsidRDefault="008B2896" w:rsidP="008B2896" w:rsidR="008B2896">
      <w:r>
        <w:t>Mathematical Formula</w:t>
      </w:r>
      <w:r>
        <w:t>:</w:t>
      </w:r>
    </w:p>
    <w:p w:rsidRDefault="008B2896" w:rsidP="008B2896" w:rsidR="008B2896">
      <w:r>
        <w:drawing>
          <wp:inline distR="0" distL="0" distB="0" distT="0">
            <wp:extent cy="445135" cx="1685925"/>
            <wp:effectExtent b="0" r="0" t="0" l="0"/>
            <wp:docPr descr="Equation" name="Picture 51" id="46287"/>
            <wp:cNvGraphicFramePr>
              <a:graphicFrameLocks noChangeAspect="true"/>
            </wp:cNvGraphicFramePr>
            <a:graphic>
              <a:graphicData uri="http://schemas.openxmlformats.org/drawingml/2006/picture">
                <pic:pic>
                  <pic:nvPicPr>
                    <pic:cNvPr descr="Equation" name="Picture 51" id="0"/>
                    <pic:cNvPicPr>
                      <a:picLocks noChangeArrowheads="true" noChangeAspect="true"/>
                    </pic:cNvPicPr>
                  </pic:nvPicPr>
                  <pic:blipFill>
                    <a:blip r:embed="rId8"/>
                    <a:srcRect/>
                    <a:stretch>
                      <a:fillRect/>
                    </a:stretch>
                  </pic:blipFill>
                  <pic:spPr bwMode="auto">
                    <a:xfrm>
                      <a:off y="0" x="0"/>
                      <a:ext cy="445135" cx="1685925"/>
                    </a:xfrm>
                    <a:prstGeom prst="rect">
                      <a:avLst/>
                    </a:prstGeom>
                    <a:noFill/>
                    <a:ln w="9525">
                      <a:noFill/>
                      <a:miter lim="800000"/>
                      <a:headEnd/>
                      <a:tailEnd/>
                    </a:ln>
                  </pic:spPr>
                </pic:pic>
              </a:graphicData>
            </a:graphic>
          </wp:inline>
        </w:drawing>
      </w:r>
    </w:p>
    <w:p w:rsidRDefault="008B2896" w:rsidP="008B2896" w:rsidR="008B2896">
      <w:r>
        <w:t>where:</w:t>
      </w:r>
    </w:p>
    <w:p w:rsidRDefault="008B2896" w:rsidP="008B2896" w:rsidR="008B2896">
      <w:r>
        <w:t xml:space="preserve">di = the </w:t>
      </w:r>
      <w:hyperlink r:id="rId9">
        <w:r>
          <w:rPr>
            <w:rStyle w:val="Hyperlink"/>
          </w:rPr>
          <w:t>i</w:t>
        </w:r>
      </w:hyperlink>
      <w:r>
        <w:t/>
      </w:r>
      <w:r>
        <w:t>th</w:t>
      </w:r>
      <w:r>
        <w:t>, or last, payment date.</w:t>
      </w:r>
      <w:r>
        <w:br/>
      </w:r>
      <w:r>
        <w:t>d1 = the 0</w:t>
      </w:r>
      <w:r>
        <w:t>th</w:t>
      </w:r>
      <w:r>
        <w:t xml:space="preserve"> payment date.</w:t>
      </w:r>
      <w:r>
        <w:br/>
      </w:r>
      <w:r>
        <w:t xml:space="preserve">Pi = the </w:t>
      </w:r>
      <w:hyperlink r:id="rId9">
        <w:r>
          <w:rPr>
            <w:rStyle w:val="Hyperlink"/>
          </w:rPr>
          <w:t>i</w:t>
        </w:r>
      </w:hyperlink>
      <w:r>
        <w:t/>
      </w:r>
      <w:r>
        <w:t>th</w:t>
      </w:r>
      <w:r>
        <w:t>, or last, payment.</w:t>
      </w:r>
    </w:p>
    <w:p w:rsidRDefault="008B2896" w:rsidP="008B2896" w:rsidR="008B2896">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rate</w:t>
            </w:r>
          </w:p>
        </w:tc>
        <w:tc>
          <w:tcPr>
            <w:tcW w:type="dxa" w:w="1800"/>
          </w:tcPr>
          <w:p w:rsidRDefault="008B2896" w:rsidP="002E5918" w:rsidR="008B2896">
            <w:r>
              <w:t>number</w:t>
            </w:r>
          </w:p>
        </w:tc>
        <w:tc>
          <w:tcPr>
            <w:tcW w:type="dxa" w:w="5400"/>
          </w:tcPr>
          <w:p w:rsidRDefault="008B2896" w:rsidP="002E5918" w:rsidR="008B2896">
            <w:r>
              <w:t>The discount rate to apply to the cash flows.</w:t>
            </w:r>
          </w:p>
        </w:tc>
      </w:tr>
      <w:tr w:rsidTr="002E5918" w:rsidR="008B2896">
        <w:tc>
          <w:tcPr>
            <w:tcW w:type="dxa" w:w="1465"/>
          </w:tcPr>
          <w:p w:rsidRDefault="008B2896" w:rsidP="002E5918" w:rsidR="008B2896">
            <w:r>
              <w:t/>
            </w:r>
            <w:hyperlink r:id="rId10">
              <w:r>
                <w:rPr>
                  <w:rStyle w:val="Hyperlink"/>
                </w:rPr>
                <w:t>values</w:t>
              </w:r>
            </w:hyperlink>
            <w:r>
              <w:t/>
            </w:r>
          </w:p>
        </w:tc>
        <w:tc>
          <w:tcPr>
            <w:tcW w:type="dxa" w:w="1800"/>
          </w:tcPr>
          <w:p w:rsidRDefault="008B2896" w:rsidP="002E5918" w:rsidR="008B2896">
            <w:r>
              <w:t xml:space="preserve">array, </w:t>
            </w:r>
            <w:hyperlink r:id="rId11">
              <w:r>
                <w:rPr>
                  <w:rStyle w:val="Hyperlink"/>
                </w:rPr>
                <w:t>reference</w:t>
              </w:r>
            </w:hyperlink>
            <w:r>
              <w:t/>
            </w:r>
          </w:p>
        </w:tc>
        <w:tc>
          <w:tcPr>
            <w:tcW w:type="dxa" w:w="5400"/>
            <w:shd w:fill="auto" w:color="auto" w:val="clear"/>
          </w:tcPr>
          <w:p w:rsidRDefault="008B2896" w:rsidP="002E5918" w:rsidR="008B2896">
            <w:r>
              <w:t xml:space="preserve">A series of cash flows that corresponds to a schedule of payment dates specified in </w:t>
            </w:r>
            <w:r>
              <w:t>dates</w:t>
            </w:r>
            <w:r>
              <w:t>. The first payment is optional and corresponds to a cost or payment that occurs at the beginning of the investment. If the first value is a cost or payment, it shall have a negative value. All succeeding payments are discounted based on a 365-day year. The series of values shall contain at least one positive and one negative value.</w:t>
            </w:r>
          </w:p>
        </w:tc>
      </w:tr>
      <w:tr w:rsidTr="002E5918" w:rsidR="008B2896">
        <w:tc>
          <w:tcPr>
            <w:tcW w:type="dxa" w:w="1465"/>
          </w:tcPr>
          <w:p w:rsidRDefault="008B2896" w:rsidP="002E5918" w:rsidR="008B2896">
            <w:r>
              <w:t>dates</w:t>
            </w:r>
          </w:p>
        </w:tc>
        <w:tc>
          <w:tcPr>
            <w:tcW w:type="dxa" w:w="1800"/>
          </w:tcPr>
          <w:p w:rsidRDefault="008B2896" w:rsidP="002E5918" w:rsidR="008B2896">
            <w:r>
              <w:t/>
            </w:r>
            <w:hyperlink r:id="rId11">
              <w:r>
                <w:rPr>
                  <w:rStyle w:val="Hyperlink"/>
                </w:rPr>
                <w:t>reference</w:t>
              </w:r>
            </w:hyperlink>
            <w:r>
              <w:t/>
            </w:r>
          </w:p>
        </w:tc>
        <w:tc>
          <w:tcPr>
            <w:tcW w:type="dxa" w:w="5400"/>
            <w:shd w:fill="auto" w:color="auto" w:val="clear"/>
          </w:tcPr>
          <w:p w:rsidRDefault="008B2896" w:rsidP="002E5918" w:rsidR="008B2896">
            <w:r>
              <w:t xml:space="preserve">A schedule of payment dates that corresponds to the cash flow payments in </w:t>
            </w:r>
            <w:r>
              <w:t>values</w:t>
            </w:r>
            <w:r>
              <w:t>. The first payment date indicates the beginning of the schedule of payments. All other dates shall be later than this date, but they can occur in any order. Time information in the date arguments is ignored.</w:t>
            </w:r>
          </w:p>
        </w:tc>
      </w:tr>
    </w:tbl>
    <w:p w:rsidRDefault="008B2896" w:rsidP="008B2896" w:rsidR="008B2896"/>
    <w:p w:rsidRDefault="008B2896" w:rsidP="008B2896" w:rsidR="008B2896">
      <w:r>
        <w:t>Return Type and Value: number – The net present value for a schedule of cash flows that is not necessarily periodic.</w:t>
      </w:r>
    </w:p>
    <w:p w:rsidRDefault="008B2896" w:rsidP="008B2896" w:rsidR="008B2896">
      <w:r>
        <w:t>However, if</w:t>
      </w:r>
    </w:p>
    <w:p w:rsidRDefault="008B2896" w:rsidP="008B2896" w:rsidR="008B2896">
      <w:pPr>
        <w:pStyle w:val="ListBullet"/>
        <w:numPr>
          <w:ilvl w:val="0"/>
          <w:numId w:val="180"/>
        </w:numPr>
      </w:pPr>
      <w:r>
        <w:t xml:space="preserve">Any date in </w:t>
      </w:r>
      <w:r>
        <w:t>dates</w:t>
      </w:r>
      <w:r>
        <w:t xml:space="preserve"> is out of range for the current date base value, </w:t>
      </w:r>
      <w:r>
        <w:t>#NUM!</w:t>
      </w:r>
      <w:r>
        <w:t xml:space="preserve"> is returned.</w:t>
      </w:r>
    </w:p>
    <w:p w:rsidRDefault="008B2896" w:rsidP="008B2896" w:rsidR="008B2896">
      <w:pPr>
        <w:pStyle w:val="ListBullet"/>
      </w:pPr>
      <w:r>
        <w:t xml:space="preserve">Any date in </w:t>
      </w:r>
      <w:r>
        <w:t>dates</w:t>
      </w:r>
      <w:r>
        <w:t xml:space="preserve"> precedes the starting date, </w:t>
      </w:r>
      <w:r>
        <w:t>#NUM!</w:t>
      </w:r>
      <w:r>
        <w:t xml:space="preserve"> is returned.</w:t>
      </w:r>
    </w:p>
    <w:p w:rsidRDefault="008B2896" w:rsidP="008B2896" w:rsidR="008B2896">
      <w:pPr>
        <w:pStyle w:val="ListBullet"/>
      </w:pPr>
      <w:r>
        <w:t>values</w:t>
      </w:r>
      <w:r>
        <w:t xml:space="preserve"> and </w:t>
      </w:r>
      <w:r>
        <w:t>dates</w:t>
      </w:r>
      <w:r>
        <w:t xml:space="preserve"> contain different numbers of values, </w:t>
      </w:r>
      <w:r>
        <w:t>#NUM!</w:t>
      </w:r>
      <w:r>
        <w:t xml:space="preserve"> is returned.</w:t>
      </w:r>
    </w:p>
    <w:p w:rsidRDefault="008B2896" w:rsidP="008B2896" w:rsidR="008B2896">
      <w:r>
        <w:t>[</w:t>
      </w:r>
      <w:r>
        <w:t>Example</w:t>
      </w:r>
      <w:r>
        <w:t xml:space="preserve">: When the cells </w:t>
      </w:r>
      <w:r>
        <w:t>F2397:J2397</w:t>
      </w:r>
      <w:r>
        <w:t xml:space="preserve"> contain the dates January 1, 2008; March 1,2008; October 30, 2008; February 15, 2009, and April 1, 2009:</w:t>
      </w:r>
      <w:r>
        <w:br/>
      </w:r>
      <w:r>
        <w:br/>
      </w:r>
      <w:r>
        <w:t>XNPV(0.09,{-10000,2750,4250,3250,2750},F2397:J2397)</w:t>
      </w:r>
      <w:r>
        <w:t xml:space="preserve"> results in </w:t>
      </w:r>
      <w:r>
        <w:t>2086.65</w:t>
      </w:r>
      <w:r>
        <w:br/>
      </w:r>
      <w:r>
        <w:br/>
      </w:r>
      <w:r>
        <w:t>end example</w:t>
      </w:r>
      <w:r>
        <w:t>]</w:t>
      </w:r>
    </w:p>
    <w:bookmarkEnd w:id="100003"/>
    <w:bookmarkEnd w:id="100004"/>
    <w:bookmarkEnd w:id="100005"/>
    <w:bookmarkEnd w:id="100006"/>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 w:numId="172">
    <w:abstractNumId w:val="4"/>
    <w:lvlOverride w:ilvl="0">
      <w:startOverride w:val="499"/>
    </w:lvlOverride>
  </w:num>
  <w:num w:numId="173">
    <w:abstractNumId w:val="4"/>
    <w:lvlOverride w:ilvl="0">
      <w:startOverride w:val="501"/>
    </w:lvlOverride>
  </w:num>
  <w:num w:numId="174">
    <w:abstractNumId w:val="4"/>
    <w:lvlOverride w:ilvl="0">
      <w:startOverride w:val="503"/>
    </w:lvlOverride>
  </w:num>
  <w:num w:numId="175">
    <w:abstractNumId w:val="4"/>
    <w:lvlOverride w:ilvl="0">
      <w:startOverride w:val="507"/>
    </w:lvlOverride>
  </w:num>
  <w:num w:numId="176">
    <w:abstractNumId w:val="4"/>
    <w:lvlOverride w:ilvl="0">
      <w:startOverride w:val="509"/>
    </w:lvlOverride>
  </w:num>
  <w:num w:numId="177">
    <w:abstractNumId w:val="4"/>
    <w:lvlOverride w:ilvl="0">
      <w:startOverride w:val="511"/>
    </w:lvlOverride>
  </w:num>
  <w:num w:numId="178">
    <w:abstractNumId w:val="4"/>
    <w:lvlOverride w:ilvl="0">
      <w:startOverride w:val="514"/>
    </w:lvlOverride>
  </w:num>
  <w:num w:numId="179">
    <w:abstractNumId w:val="4"/>
    <w:lvlOverride w:ilvl="0">
      <w:startOverride w:val="517"/>
    </w:lvlOverride>
  </w:num>
  <w:num w:numId="180">
    <w:abstractNumId w:val="4"/>
    <w:lvlOverride w:ilvl="0">
      <w:startOverride w:val="52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76.gif"></Relationship><Relationship Id="rId9" Type="http://schemas.openxmlformats.org/officeDocument/2006/relationships/hyperlink" Target="i.docx" TargetMode="External"/><Relationship Id="rId10" Type="http://schemas.openxmlformats.org/officeDocument/2006/relationships/hyperlink" Target="values.docx" TargetMode="External"/><Relationship Id="rId11" Type="http://schemas.openxmlformats.org/officeDocument/2006/relationships/hyperlink" Target="referenc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