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33291985_1" w:id="100001"/>
      <w:bookmarkStart w:name="_Toc133914915_1" w:id="100002"/>
      <w:bookmarkStart w:name="_Toc142462012_1" w:id="100003"/>
      <w:bookmarkStart w:name="_Ref144619588_1" w:id="100004"/>
      <w:bookmarkStart w:name="_Toc147897016_1" w:id="100005"/>
      <w:r>
        <w:t>Syntax</w:t>
      </w:r>
      <w:bookmarkEnd w:id="100001"/>
      <w:bookmarkEnd w:id="100002"/>
      <w:bookmarkEnd w:id="100003"/>
      <w:bookmarkEnd w:id="100004"/>
      <w:bookmarkEnd w:id="100005"/>
    </w:p>
    <w:p w:rsidRDefault="008B2896" w:rsidP="008B2896" w:rsidR="008B2896">
      <w:r>
        <w:t xml:space="preserve">The general syntax of a </w:t>
      </w:r>
      <w:hyperlink r:id="rId8">
        <w:r>
          <w:rPr>
            <w:rStyle w:val="Hyperlink"/>
          </w:rPr>
          <w:t>formula</w:t>
        </w:r>
      </w:hyperlink>
      <w:r>
        <w:t xml:space="preserve"> is as follows:</w:t>
      </w:r>
    </w:p>
    <w:p w:rsidRDefault="008B2896" w:rsidP="008B2896" w:rsidR="008B2896">
      <w:pPr>
        <w:pStyle w:val="Grammar"/>
      </w:pPr>
      <w:r>
        <w:t>formula:</w:t>
      </w:r>
      <w:r>
        <w:br/>
      </w:r>
      <w:r>
        <w:t>expression</w:t>
      </w:r>
    </w:p>
    <w:p w:rsidRDefault="008B2896" w:rsidP="008B2896" w:rsidR="008B2896">
      <w:pPr>
        <w:pStyle w:val="Grammar"/>
      </w:pPr>
      <w:r>
        <w:t>expression:</w:t>
      </w:r>
      <w:r>
        <w:br/>
      </w:r>
      <w:r>
        <w:t>(</w:t>
      </w:r>
      <w:r>
        <w:t xml:space="preserve">   expression   </w:t>
      </w:r>
      <w:r>
        <w:t>)</w:t>
      </w:r>
      <w:r>
        <w:br/>
      </w:r>
      <w:r>
        <w:t>constant</w:t>
      </w:r>
      <w:r>
        <w:br/>
      </w:r>
      <w:r>
        <w:t xml:space="preserve">prefix-operator   expression </w:t>
      </w:r>
      <w:r>
        <w:br/>
      </w:r>
      <w:r>
        <w:t>expression   infix-operator   expression</w:t>
      </w:r>
      <w:r>
        <w:br/>
      </w:r>
      <w:r>
        <w:t>expression   postfix-operator</w:t>
      </w:r>
      <w:r>
        <w:br/>
      </w:r>
      <w:r>
        <w:t>cell-reference</w:t>
      </w:r>
      <w:r>
        <w:br/>
      </w:r>
      <w:r>
        <w:t>function-call</w:t>
      </w:r>
      <w:r>
        <w:br/>
      </w:r>
      <w:r>
        <w:t>name</w:t>
      </w:r>
    </w:p>
    <w:p w:rsidRDefault="008B2896" w:rsidP="008B2896" w:rsidR="008B2896">
      <w:r>
        <w:t xml:space="preserve">where </w:t>
      </w:r>
      <w:r>
        <w:t>expression</w:t>
      </w:r>
      <w:r>
        <w:t xml:space="preserve"> is an arbitrarily complex expression involving constants (§</w:t>
      </w:r>
      <w:fldSimple w:instr=" REF _Ref137199565 \r \h ">
        <w:r>
          <w:t>3.17.2.1</w:t>
        </w:r>
      </w:fldSimple>
      <w:r>
        <w:t>), operators (§</w:t>
      </w:r>
      <w:fldSimple w:instr=" REF _Ref128555958 \r \h ">
        <w:r>
          <w:t>0</w:t>
        </w:r>
      </w:fldSimple>
      <w:r>
        <w:t xml:space="preserve">), </w:t>
      </w:r>
      <w:hyperlink r:id="rId9">
        <w:r>
          <w:rPr>
            <w:rStyle w:val="Hyperlink"/>
          </w:rPr>
          <w:t>cell</w:t>
        </w:r>
      </w:hyperlink>
      <w:r>
        <w:t xml:space="preserve"> references (§</w:t>
      </w:r>
      <w:fldSimple w:instr=" REF _Ref127779092 \r \h ">
        <w:r>
          <w:t>3.17.2.3</w:t>
        </w:r>
      </w:fldSimple>
      <w:r>
        <w:t>), calls to functions (§</w:t>
      </w:r>
      <w:fldSimple w:instr=" REF _Ref130278029 \r \h ">
        <w:r>
          <w:t>3.17.2.4</w:t>
        </w:r>
      </w:fldSimple>
      <w:r>
        <w:t>), and names (§</w:t>
      </w:r>
      <w:fldSimple w:instr=" REF _Ref128555937 \r \h ">
        <w:r>
          <w:t>3.17.2.5</w:t>
        </w:r>
      </w:fldSimple>
      <w:r>
        <w:t>).</w:t>
      </w:r>
    </w:p>
    <w:p w:rsidRDefault="008B2896" w:rsidP="008B2896" w:rsidR="008B2896">
      <w:r>
        <w:t xml:space="preserve">A </w:t>
      </w:r>
      <w:r>
        <w:t>token</w:t>
      </w:r>
      <w:r>
        <w:fldChar w:fldCharType="begin"/>
      </w:r>
      <w:r>
        <w:instrText xml:space="preserve"> XE "token" \b </w:instrText>
      </w:r>
      <w:r>
        <w:fldChar w:fldCharType="end"/>
      </w:r>
      <w:r>
        <w:t xml:space="preserve"> is the minimal lexical element of a formula. The categories of tokens are: constants (except for </w:t>
      </w:r>
      <w:r>
        <w:t>array-constant</w:t>
      </w:r>
      <w:r>
        <w:t xml:space="preserve">), operators, </w:t>
      </w:r>
      <w:hyperlink r:id="rId9">
        <w:r>
          <w:rPr>
            <w:rStyle w:val="Hyperlink"/>
          </w:rPr>
          <w:t>cell</w:t>
        </w:r>
      </w:hyperlink>
      <w:r>
        <w:t xml:space="preserve"> </w:t>
      </w:r>
      <w:hyperlink r:id="rId10">
        <w:r>
          <w:rPr>
            <w:rStyle w:val="Hyperlink"/>
          </w:rPr>
          <w:t>references</w:t>
        </w:r>
      </w:hyperlink>
      <w:r>
        <w:t xml:space="preserve">, function names, names, and punctuators. The </w:t>
      </w:r>
      <w:r>
        <w:t>punctuator</w:t>
      </w:r>
      <w:r>
        <w:t>s</w:t>
      </w:r>
      <w:r>
        <w:fldChar w:fldCharType="begin"/>
      </w:r>
      <w:r>
        <w:instrText xml:space="preserve"> XE "punctuator" \b </w:instrText>
      </w:r>
      <w:r>
        <w:fldChar w:fldCharType="end"/>
      </w:r>
      <w:r>
        <w:t xml:space="preserve"> are:</w:t>
      </w:r>
    </w:p>
    <w:p w:rsidRDefault="008B2896" w:rsidP="008B2896" w:rsidR="008B2896">
      <w:pPr>
        <w:pStyle w:val="ListBullet"/>
        <w:numPr>
          <w:ilvl w:val="0"/>
          <w:numId w:val="35"/>
        </w:numPr>
      </w:pPr>
      <w:r>
        <w:t>Left parenthesis (</w:t>
      </w:r>
      <w:r>
        <w:t>(</w:t>
      </w:r>
      <w:r>
        <w:t>) and right parenthesis (</w:t>
      </w:r>
      <w:r>
        <w:t>)</w:t>
      </w:r>
      <w:r>
        <w:t>) used for expression grouping and in a function call.</w:t>
      </w:r>
    </w:p>
    <w:p w:rsidRDefault="008B2896" w:rsidP="008B2896" w:rsidR="008B2896">
      <w:pPr>
        <w:pStyle w:val="ListBullet"/>
      </w:pPr>
      <w:r>
        <w:t>Comma (</w:t>
      </w:r>
      <w:r>
        <w:t>,</w:t>
      </w:r>
      <w:r>
        <w:t xml:space="preserve">) used in a function call and an </w:t>
      </w:r>
      <w:r>
        <w:t>array-constant</w:t>
      </w:r>
      <w:r>
        <w:t>.</w:t>
      </w:r>
    </w:p>
    <w:p w:rsidRDefault="008B2896" w:rsidP="008B2896" w:rsidR="008B2896">
      <w:pPr>
        <w:pStyle w:val="ListBullet"/>
      </w:pPr>
      <w:r>
        <w:t>Left brace (</w:t>
      </w:r>
      <w:r>
        <w:t>{</w:t>
      </w:r>
      <w:r>
        <w:t>), right brace (</w:t>
      </w:r>
      <w:r>
        <w:t>}</w:t>
      </w:r>
      <w:r>
        <w:t>), and semicolon (</w:t>
      </w:r>
      <w:r>
        <w:t>;</w:t>
      </w:r>
      <w:r>
        <w:t xml:space="preserve">) used in an </w:t>
      </w:r>
      <w:r>
        <w:t>array-constant</w:t>
      </w:r>
      <w:r>
        <w:t>.</w:t>
      </w:r>
    </w:p>
    <w:p w:rsidRDefault="008B2896" w:rsidP="008B2896" w:rsidR="008B2896">
      <w:r>
        <w:t xml:space="preserve">In a </w:t>
      </w:r>
      <w:hyperlink r:id="rId8">
        <w:r>
          <w:rPr>
            <w:rStyle w:val="Hyperlink"/>
          </w:rPr>
          <w:t>formula</w:t>
        </w:r>
      </w:hyperlink>
      <w:r>
        <w:t>, an arbitrary number of space characters (</w:t>
      </w:r>
      <w:r>
        <w:t>U+0020</w:t>
      </w:r>
      <w:r>
        <w:t xml:space="preserve">) can precede the first token or follow the final token. An arbitrary number of space characters can separate two adjacent tokens, except that no space characters shall separate a </w:t>
      </w:r>
      <w:r>
        <w:t>function-name</w:t>
      </w:r>
      <w:r>
        <w:t xml:space="preserve"> from the left parenthesis (</w:t>
      </w:r>
      <w:r>
        <w:t>(</w:t>
      </w:r>
      <w:r>
        <w:t>) that follows it. Such space characters have no effect on the semantics of a formula; however, such spaces shall be distinguished from the space operator (§</w:t>
      </w:r>
      <w:fldSimple w:instr=" REF _Ref128555958 \r \h ">
        <w:r>
          <w:t>0</w:t>
        </w:r>
      </w:fldSimple>
      <w:r>
        <w:t>).</w:t>
      </w:r>
    </w:p>
    <w:p w:rsidRDefault="008B2896" w:rsidP="008B2896" w:rsidR="008B2896">
      <w:r>
        <w:t xml:space="preserve">All arithmetic terms in an </w:t>
      </w:r>
      <w:r>
        <w:t>expression</w:t>
      </w:r>
      <w:r>
        <w:t xml:space="preserve"> are real numbers</w:t>
      </w:r>
      <w:r>
        <w:fldChar w:fldCharType="begin"/>
      </w:r>
      <w:r>
        <w:instrText xml:space="preserve"> XE "</w:instrText>
      </w:r>
      <w:smartTag w:element="PersonName" w:uri="urn:schemas-microsoft-com:office:smarttags">
        <w:r>
          <w:instrText>IEEE</w:instrText>
        </w:r>
      </w:smartTag>
      <w:r>
        <w:instrText xml:space="preserve"> arithmetic" </w:instrText>
      </w:r>
      <w:r>
        <w:fldChar w:fldCharType="end"/>
      </w:r>
      <w:r>
        <w:t>. [</w:t>
      </w:r>
      <w:r>
        <w:t>Example</w:t>
      </w:r>
      <w:r>
        <w:t>: In the expression </w:t>
      </w:r>
      <w:r>
        <w:t>1/3</w:t>
      </w:r>
      <w:r>
        <w:t>, although the operands appear to be integers, they are, in fact, real numbers, and the result is </w:t>
      </w:r>
      <w:r>
        <w:t>0.33…</w:t>
      </w:r>
      <w:r>
        <w:t>, not </w:t>
      </w:r>
      <w:r>
        <w:t>0</w:t>
      </w:r>
      <w:r>
        <w:t xml:space="preserve">, as would result from integer division. </w:t>
      </w:r>
      <w:r>
        <w:t>end example</w:t>
      </w:r>
      <w:r>
        <w:t>]</w:t>
      </w:r>
    </w:p>
    <w:p w:rsidRDefault="008B2896" w:rsidP="008B2896" w:rsidR="008B2896">
      <w:r>
        <w:t xml:space="preserve">As ranges of data are fundamental to spreadsheet calculations, many SpreadsheetML functions are able to take arrays as inputs and to return arrays as outputs.  The way in which </w:t>
      </w:r>
      <w:hyperlink r:id="rId8">
        <w:r>
          <w:rPr>
            <w:rStyle w:val="Hyperlink"/>
          </w:rPr>
          <w:t>formula</w:t>
        </w:r>
      </w:hyperlink>
      <w:r>
        <w:t xml:space="preserve"> return values are returned into the </w:t>
      </w:r>
      <w:hyperlink r:id="rId11">
        <w:r>
          <w:rPr>
            <w:rStyle w:val="Hyperlink"/>
          </w:rPr>
          <w:t>worksheet</w:t>
        </w:r>
      </w:hyperlink>
      <w:r>
        <w:t xml:space="preserve"> differs based on whether the </w:t>
      </w:r>
      <w:hyperlink r:id="rId8">
        <w:r>
          <w:rPr>
            <w:rStyle w:val="Hyperlink"/>
          </w:rPr>
          <w:t>formula</w:t>
        </w:r>
      </w:hyperlink>
      <w:r>
        <w:t xml:space="preserve"> in a given </w:t>
      </w:r>
      <w:hyperlink r:id="rId9">
        <w:r>
          <w:rPr>
            <w:rStyle w:val="Hyperlink"/>
          </w:rPr>
          <w:t>cell</w:t>
        </w:r>
      </w:hyperlink>
      <w:r>
        <w:t xml:space="preserve"> was </w:t>
      </w:r>
      <w:r>
        <w:t>array entered</w:t>
      </w:r>
      <w:r>
        <w:fldChar w:fldCharType="begin"/>
      </w:r>
      <w:r>
        <w:instrText xml:space="preserve"> XE "formula:array-entered" \b </w:instrText>
      </w:r>
      <w:r>
        <w:fldChar w:fldCharType="end"/>
      </w:r>
      <w:r>
        <w:t xml:space="preserve"> or not, but intermediate calculations are always done for the full arrays when they are used as inputs.  The differences with an array-entered </w:t>
      </w:r>
      <w:hyperlink r:id="rId8">
        <w:r>
          <w:rPr>
            <w:rStyle w:val="Hyperlink"/>
          </w:rPr>
          <w:t>formula</w:t>
        </w:r>
      </w:hyperlink>
      <w:r>
        <w:t xml:space="preserve"> are: </w:t>
      </w:r>
    </w:p>
    <w:p w:rsidRDefault="008B2896" w:rsidP="008B2896" w:rsidR="008B2896">
      <w:pPr>
        <w:pStyle w:val="ListBullet"/>
      </w:pPr>
      <w:r>
        <w:t xml:space="preserve">No implicit intersection is performed on </w:t>
      </w:r>
      <w:hyperlink r:id="rId9">
        <w:r>
          <w:rPr>
            <w:rStyle w:val="Hyperlink"/>
          </w:rPr>
          <w:t>cell</w:t>
        </w:r>
      </w:hyperlink>
      <w:r>
        <w:t xml:space="preserve"> range inputs.</w:t>
      </w:r>
    </w:p>
    <w:p w:rsidRDefault="008B2896" w:rsidP="008B2896" w:rsidR="008B2896">
      <w:pPr>
        <w:pStyle w:val="ListBullet"/>
      </w:pPr>
      <w:r>
        <w:t>The results of the formula’s calculation can be returned across multiple cells in the sheet.</w:t>
      </w:r>
    </w:p>
    <w:p w:rsidRDefault="008B2896" w:rsidP="008B2896" w:rsidR="008B2896">
      <w:r>
        <w:t xml:space="preserve">When a range of </w:t>
      </w:r>
      <w:hyperlink r:id="rId9">
        <w:r>
          <w:rPr>
            <w:rStyle w:val="Hyperlink"/>
          </w:rPr>
          <w:t>cell</w:t>
        </w:r>
      </w:hyperlink>
      <w:r>
        <w:t xml:space="preserve"> </w:t>
      </w:r>
      <w:hyperlink r:id="rId10">
        <w:r>
          <w:rPr>
            <w:rStyle w:val="Hyperlink"/>
          </w:rPr>
          <w:t>references</w:t>
        </w:r>
      </w:hyperlink>
      <w:r>
        <w:t xml:space="preserve"> is used in a </w:t>
      </w:r>
      <w:hyperlink r:id="rId8">
        <w:r>
          <w:rPr>
            <w:rStyle w:val="Hyperlink"/>
          </w:rPr>
          <w:t>formula</w:t>
        </w:r>
      </w:hyperlink>
      <w:r>
        <w:t xml:space="preserve"> that is array-entered in an area larger than that range, the excess cells take on a value of </w:t>
      </w:r>
      <w:r>
        <w:t>#N/A</w:t>
      </w:r>
      <w:r>
        <w:t>.</w:t>
      </w:r>
    </w:p>
    <w:p w:rsidRDefault="008B2896" w:rsidP="008B2896" w:rsidR="008B2896">
      <w:r>
        <w:t>[</w:t>
      </w:r>
      <w:r>
        <w:t>Example</w:t>
      </w:r>
      <w:r>
        <w:t>: Here are some formulas taking array constants and ranges:</w:t>
      </w:r>
    </w:p>
    <w:p w:rsidRDefault="008B2896" w:rsidP="008B2896" w:rsidR="008B2896">
      <w:pPr>
        <w:pStyle w:val="ListBullet"/>
      </w:pPr>
      <w:r>
        <w:t>(B2:B4*C2:C4)+10.5</w:t>
      </w:r>
      <w:r>
        <w:t xml:space="preserve"> performs three calculations: </w:t>
      </w:r>
      <w:r>
        <w:t>(B2*C2)+10.5</w:t>
      </w:r>
      <w:r>
        <w:t xml:space="preserve">, </w:t>
      </w:r>
      <w:r>
        <w:t>(B3*C3)+10.5</w:t>
      </w:r>
      <w:r>
        <w:t xml:space="preserve">, and </w:t>
      </w:r>
      <w:r>
        <w:t>(B4*C4)+10.5</w:t>
      </w:r>
      <w:r>
        <w:t>.</w:t>
      </w:r>
    </w:p>
    <w:p w:rsidRDefault="008B2896" w:rsidP="008B2896" w:rsidR="008B2896">
      <w:pPr>
        <w:pStyle w:val="ListBullet"/>
      </w:pPr>
      <w:r>
        <w:t>SQRT({1,2,3,4})</w:t>
      </w:r>
      <w:r>
        <w:t xml:space="preserve"> returns 1 when entered normally.</w:t>
      </w:r>
    </w:p>
    <w:p w:rsidRDefault="008B2896" w:rsidP="008B2896" w:rsidR="008B2896">
      <w:pPr>
        <w:pStyle w:val="ListBullet"/>
      </w:pPr>
      <w:r>
        <w:t>SQRT({1,2,3,4})</w:t>
      </w:r>
      <w:r>
        <w:t xml:space="preserve"> returns 1 when array-entered into a single </w:t>
      </w:r>
      <w:hyperlink r:id="rId9">
        <w:r>
          <w:rPr>
            <w:rStyle w:val="Hyperlink"/>
          </w:rPr>
          <w:t>cell</w:t>
        </w:r>
      </w:hyperlink>
      <w:r>
        <w:t xml:space="preserve">, but if it’s array-entered in four or more cells in a contiguous </w:t>
      </w:r>
      <w:hyperlink r:id="rId12">
        <w:r>
          <w:rPr>
            <w:rStyle w:val="Hyperlink"/>
          </w:rPr>
          <w:t>row</w:t>
        </w:r>
      </w:hyperlink>
      <w:r>
        <w:t xml:space="preserve">, it will return 1, 1.41, 1.73, and 2 in the first four cells, respectively, and </w:t>
      </w:r>
      <w:r>
        <w:t>#N/A</w:t>
      </w:r>
      <w:r>
        <w:t xml:space="preserve"> in any additional cells in the </w:t>
      </w:r>
      <w:hyperlink r:id="rId13">
        <w:r>
          <w:rPr>
            <w:rStyle w:val="Hyperlink"/>
          </w:rPr>
          <w:t>horizontal</w:t>
        </w:r>
      </w:hyperlink>
      <w:r>
        <w:t xml:space="preserve"> range for which it was array-entered. (For display purposes, the values returned have been truncated to two decimal places.)</w:t>
      </w:r>
    </w:p>
    <w:p w:rsidRDefault="008B2896" w:rsidP="008B2896" w:rsidR="008B2896">
      <w:pPr>
        <w:pStyle w:val="ListBullet"/>
      </w:pPr>
      <w:r>
        <w:t>SUM(SQRT({1,2,3,4}))</w:t>
      </w:r>
      <w:r>
        <w:t xml:space="preserve"> returns 6.14 when entered normally, since array calculations are always performed by the </w:t>
      </w:r>
      <w:r>
        <w:t/>
      </w:r>
      <w:hyperlink r:id="rId14">
        <w:r>
          <w:rPr>
            <w:rStyle w:val="Hyperlink"/>
          </w:rPr>
          <w:t>SQRT</w:t>
        </w:r>
      </w:hyperlink>
      <w:r>
        <w:t/>
      </w:r>
      <w:r>
        <w:t xml:space="preserve"> function, and the array output is understood as a valid input by the </w:t>
      </w:r>
      <w:r>
        <w:t/>
      </w:r>
      <w:hyperlink r:id="rId15">
        <w:r>
          <w:rPr>
            <w:rStyle w:val="Hyperlink"/>
          </w:rPr>
          <w:t>SUM</w:t>
        </w:r>
      </w:hyperlink>
      <w:r>
        <w:t/>
      </w:r>
      <w:r>
        <w:t xml:space="preserve"> function.</w:t>
      </w:r>
    </w:p>
    <w:p w:rsidRDefault="008B2896" w:rsidP="008B2896" w:rsidR="008B2896">
      <w:r>
        <w:t xml:space="preserve">With </w:t>
      </w:r>
      <w:r>
        <w:t>A1:A4</w:t>
      </w:r>
      <w:r>
        <w:t xml:space="preserve"> holding the values 1, 2, 3, and 4, respectively:</w:t>
      </w:r>
    </w:p>
    <w:p w:rsidRDefault="008B2896" w:rsidP="008B2896" w:rsidR="008B2896">
      <w:pPr>
        <w:pStyle w:val="ListBullet"/>
      </w:pPr>
      <w:r>
        <w:t>SQRT(A1:A4)</w:t>
      </w:r>
      <w:r>
        <w:t xml:space="preserve"> entered normally will do implicit intersection if it is in any of the rows 1–4, and return the </w:t>
      </w:r>
      <w:r>
        <w:t/>
      </w:r>
      <w:hyperlink r:id="rId14">
        <w:r>
          <w:rPr>
            <w:rStyle w:val="Hyperlink"/>
          </w:rPr>
          <w:t>SQRT</w:t>
        </w:r>
      </w:hyperlink>
      <w:r>
        <w:t/>
      </w:r>
      <w:r>
        <w:t xml:space="preserve"> of the number in the same row.</w:t>
      </w:r>
    </w:p>
    <w:p w:rsidRDefault="008B2896" w:rsidP="008B2896" w:rsidR="008B2896">
      <w:pPr>
        <w:pStyle w:val="ListBullet"/>
      </w:pPr>
      <w:r>
        <w:t>SQRT(A1:A4)</w:t>
      </w:r>
      <w:r>
        <w:t xml:space="preserve"> returns 1 when array-entered into a single </w:t>
      </w:r>
      <w:hyperlink r:id="rId9">
        <w:r>
          <w:rPr>
            <w:rStyle w:val="Hyperlink"/>
          </w:rPr>
          <w:t>cell</w:t>
        </w:r>
      </w:hyperlink>
      <w:r>
        <w:t xml:space="preserve">, since it does not do implicit intersection in this case.  If it’s array-entered in multiple cells in a contiguous column, it will return 1, 1.41, 1.73, 2, </w:t>
      </w:r>
      <w:r>
        <w:t>#N/A</w:t>
      </w:r>
      <w:r>
        <w:t xml:space="preserve">, …, respectively, in the cells in its </w:t>
      </w:r>
      <w:hyperlink r:id="rId16">
        <w:r>
          <w:rPr>
            <w:rStyle w:val="Hyperlink"/>
          </w:rPr>
          <w:t>vertical</w:t>
        </w:r>
      </w:hyperlink>
      <w:r>
        <w:t xml:space="preserve"> output range. </w:t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formula.docx" TargetMode="External"/><Relationship Id="rId9" Type="http://schemas.openxmlformats.org/officeDocument/2006/relationships/hyperlink" Target="cell.docx" TargetMode="External"/><Relationship Id="rId10" Type="http://schemas.openxmlformats.org/officeDocument/2006/relationships/hyperlink" Target="references.docx" TargetMode="External"/><Relationship Id="rId11" Type="http://schemas.openxmlformats.org/officeDocument/2006/relationships/hyperlink" Target="worksheet.docx" TargetMode="External"/><Relationship Id="rId12" Type="http://schemas.openxmlformats.org/officeDocument/2006/relationships/hyperlink" Target="row.docx" TargetMode="External"/><Relationship Id="rId13" Type="http://schemas.openxmlformats.org/officeDocument/2006/relationships/hyperlink" Target="horizontal.docx" TargetMode="External"/><Relationship Id="rId14" Type="http://schemas.openxmlformats.org/officeDocument/2006/relationships/hyperlink" Target="SQRT.docx" TargetMode="External"/><Relationship Id="rId15" Type="http://schemas.openxmlformats.org/officeDocument/2006/relationships/hyperlink" Target="SUM.docx" TargetMode="External"/><Relationship Id="rId16" Type="http://schemas.openxmlformats.org/officeDocument/2006/relationships/hyperlink" Target="vertical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