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41_1" w:id="100001"/>
      <w:bookmarkStart w:name="_Toc133292318_1" w:id="100002"/>
      <w:bookmarkStart w:name="_Toc133915248_1" w:id="100003"/>
      <w:bookmarkStart w:name="_Toc142462347_1" w:id="100004"/>
      <w:bookmarkStart w:name="_Toc147897349_1" w:id="100005"/>
      <w:r>
        <w:t>SUMSQ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"SUMSQ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SUMSQ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Adds the squares of </w:t>
      </w:r>
      <w:r>
        <w:t>argument</w:t>
      </w:r>
      <w:r>
        <w:t xml:space="preserve">s in </w:t>
      </w:r>
      <w:r>
        <w:t>argument-list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number, name, text, 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values whose squares are to be summed. Arguments that are numbers, logical values, or text representations of numbers shall be counted. If an argument is an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only numbers in that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shall be counted. Empty cells, logical values, and text in the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shall be ignored.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sum of the squares of its arguments.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SUMSQ(2)</w:t>
      </w:r>
      <w:r>
        <w:t xml:space="preserve"> results in </w:t>
      </w:r>
      <w:r>
        <w:t>4</w:t>
      </w:r>
      <w:r>
        <w:br/>
      </w:r>
      <w:r>
        <w:t>SUMSQ(2.5,-3.6))</w:t>
      </w:r>
      <w:r>
        <w:t xml:space="preserve"> results in </w:t>
      </w:r>
      <w:r>
        <w:t>19.21</w:t>
      </w:r>
      <w:r>
        <w:br/>
      </w:r>
      <w:r>
        <w:t>SUMSQ({2.5,-3.6)},2.4)</w:t>
      </w:r>
      <w:r>
        <w:t xml:space="preserve"> results in </w:t>
      </w:r>
      <w:r>
        <w:t>24.97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