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97_1" w:id="100001"/>
      <w:bookmarkStart w:name="_Toc133292313_1" w:id="100002"/>
      <w:bookmarkStart w:name="_Toc133915243_1" w:id="100003"/>
      <w:bookmarkStart w:name="_Toc142462342_1" w:id="100004"/>
      <w:bookmarkStart w:name="_Toc147897344_1" w:id="100005"/>
      <w:r>
        <w:t>SUBTOTAL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"SUBTOTAL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SUBTOTAL</w:t>
      </w:r>
      <w:r>
        <w:t xml:space="preserve">  </w:t>
      </w:r>
      <w:r>
        <w:t>(</w:t>
      </w:r>
      <w:r>
        <w:t xml:space="preserve">  function-number  </w:t>
      </w:r>
      <w:r>
        <w:t>,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a value using the function designated by </w:t>
      </w:r>
      <w:r>
        <w:t>function-number</w:t>
      </w:r>
      <w:r>
        <w:t xml:space="preserve">, using the </w:t>
      </w:r>
      <w:r>
        <w:t>argument</w:t>
      </w:r>
      <w:r>
        <w:t xml:space="preserve">s in </w:t>
      </w:r>
      <w:r>
        <w:t>argument-list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function-number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Indicates the function to be called, as shown in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below.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Each </w:t>
            </w:r>
            <w:r>
              <w:t>argument</w:t>
            </w:r>
            <w:r>
              <w:t xml:space="preserve"> in </w:t>
            </w:r>
            <w:r>
              <w:t>argument-list</w:t>
            </w:r>
            <w:r>
              <w:t xml:space="preserve"> is passed to the called function, in the order specified. That shall be no more than 254 </w:t>
            </w:r>
            <w:r>
              <w:t>argument</w:t>
            </w:r>
            <w:r>
              <w:t>s.</w:t>
            </w:r>
          </w:p>
        </w:tc>
      </w:tr>
    </w:tbl>
    <w:p w:rsidRDefault="008B2896" w:rsidP="008B2896" w:rsidR="008B2896"/>
    <w:tbl>
      <w:tblPr>
        <w:tblStyle w:val="IndentedElementTable"/>
        <w:tblW w:type="dxa" w:w="6858"/>
        <w:tblLook w:val="0620" w:noVBand="1" w:noHBand="1" w:lastColumn="0" w:firstColumn="0" w:lastRow="0" w:firstRow="1"/>
      </w:tblPr>
      <w:tblGrid>
        <w:gridCol w:w="2628"/>
        <w:gridCol w:w="2610"/>
        <w:gridCol w:w="1620"/>
      </w:tblGrid>
      <w:tr w:rsidTr="002E5918" w:rsidR="008B2896">
        <w:trPr>
          <w:cnfStyle w:val="100000000000"/>
        </w:trPr>
        <w:tc>
          <w:tcPr>
            <w:tcW w:type="dxa" w:w="2628"/>
          </w:tcPr>
          <w:p w:rsidRDefault="008B2896" w:rsidP="002E5918" w:rsidR="008B2896">
            <w:r>
              <w:t>function-number</w:t>
            </w:r>
            <w:r>
              <w:br/>
            </w:r>
            <w:r>
              <w:t>(includes hidden values)</w:t>
            </w:r>
          </w:p>
        </w:tc>
        <w:tc>
          <w:tcPr>
            <w:tcW w:type="dxa" w:w="2610"/>
          </w:tcPr>
          <w:p w:rsidRDefault="008B2896" w:rsidP="002E5918" w:rsidR="008B2896">
            <w:r>
              <w:t>function-number</w:t>
            </w:r>
            <w:r>
              <w:br/>
            </w:r>
            <w:r>
              <w:t>(excludes hidden values)</w:t>
            </w:r>
          </w:p>
        </w:tc>
        <w:tc>
          <w:tcPr>
            <w:tcW w:type="dxa" w:w="1620"/>
          </w:tcPr>
          <w:p w:rsidRDefault="008B2896" w:rsidP="002E5918" w:rsidR="008B2896">
            <w:r>
              <w:t>Function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1</w:t>
            </w:r>
          </w:p>
        </w:tc>
        <w:tc>
          <w:tcPr>
            <w:tcW w:type="dxa" w:w="2610"/>
          </w:tcPr>
          <w:p w:rsidRDefault="008B2896" w:rsidP="002E5918" w:rsidR="008B2896">
            <w:r>
              <w:t>101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0">
              <w:r>
                <w:rPr>
                  <w:rStyle w:val="Hyperlink"/>
                </w:rPr>
                <w:t>AVERAGE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2</w:t>
            </w:r>
          </w:p>
        </w:tc>
        <w:tc>
          <w:tcPr>
            <w:tcW w:type="dxa" w:w="2610"/>
          </w:tcPr>
          <w:p w:rsidRDefault="008B2896" w:rsidP="002E5918" w:rsidR="008B2896">
            <w:r>
              <w:t>102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1">
              <w:r>
                <w:rPr>
                  <w:rStyle w:val="Hyperlink"/>
                </w:rPr>
                <w:t>COUNT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3</w:t>
            </w:r>
          </w:p>
        </w:tc>
        <w:tc>
          <w:tcPr>
            <w:tcW w:type="dxa" w:w="2610"/>
          </w:tcPr>
          <w:p w:rsidRDefault="008B2896" w:rsidP="002E5918" w:rsidR="008B2896">
            <w:r>
              <w:t>103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2">
              <w:r>
                <w:rPr>
                  <w:rStyle w:val="Hyperlink"/>
                </w:rPr>
                <w:t>COUNTA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4</w:t>
            </w:r>
          </w:p>
        </w:tc>
        <w:tc>
          <w:tcPr>
            <w:tcW w:type="dxa" w:w="2610"/>
          </w:tcPr>
          <w:p w:rsidRDefault="008B2896" w:rsidP="002E5918" w:rsidR="008B2896">
            <w:r>
              <w:t>104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smartTag w:element="GivenName" w:uri="urn:schemas:contacts">
              <w:r>
                <w:rPr>
                  <w:rStyle w:val="Codefragment"/>
                </w:rPr>
                <w:t>MAX</w:t>
              </w:r>
            </w:smartTag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5</w:t>
            </w:r>
          </w:p>
        </w:tc>
        <w:tc>
          <w:tcPr>
            <w:tcW w:type="dxa" w:w="2610"/>
          </w:tcPr>
          <w:p w:rsidRDefault="008B2896" w:rsidP="002E5918" w:rsidR="008B2896">
            <w:r>
              <w:t>105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3">
              <w:r>
                <w:rPr>
                  <w:rStyle w:val="Hyperlink"/>
                </w:rPr>
                <w:t>MIN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6</w:t>
            </w:r>
          </w:p>
        </w:tc>
        <w:tc>
          <w:tcPr>
            <w:tcW w:type="dxa" w:w="2610"/>
          </w:tcPr>
          <w:p w:rsidRDefault="008B2896" w:rsidP="002E5918" w:rsidR="008B2896">
            <w:r>
              <w:t>106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4">
              <w:r>
                <w:rPr>
                  <w:rStyle w:val="Hyperlink"/>
                </w:rPr>
                <w:t>PRODUCT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7</w:t>
            </w:r>
          </w:p>
        </w:tc>
        <w:tc>
          <w:tcPr>
            <w:tcW w:type="dxa" w:w="2610"/>
          </w:tcPr>
          <w:p w:rsidRDefault="008B2896" w:rsidP="002E5918" w:rsidR="008B2896">
            <w:r>
              <w:t>107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5">
              <w:r>
                <w:rPr>
                  <w:rStyle w:val="Hyperlink"/>
                </w:rPr>
                <w:t>STDEV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8</w:t>
            </w:r>
          </w:p>
        </w:tc>
        <w:tc>
          <w:tcPr>
            <w:tcW w:type="dxa" w:w="2610"/>
          </w:tcPr>
          <w:p w:rsidRDefault="008B2896" w:rsidP="002E5918" w:rsidR="008B2896">
            <w:r>
              <w:t>108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6">
              <w:r>
                <w:rPr>
                  <w:rStyle w:val="Hyperlink"/>
                </w:rPr>
                <w:t>STDEVP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9</w:t>
            </w:r>
          </w:p>
        </w:tc>
        <w:tc>
          <w:tcPr>
            <w:tcW w:type="dxa" w:w="2610"/>
          </w:tcPr>
          <w:p w:rsidRDefault="008B2896" w:rsidP="002E5918" w:rsidR="008B2896">
            <w:r>
              <w:t>109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7">
              <w:r>
                <w:rPr>
                  <w:rStyle w:val="Hyperlink"/>
                </w:rPr>
                <w:t>SUM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10</w:t>
            </w:r>
          </w:p>
        </w:tc>
        <w:tc>
          <w:tcPr>
            <w:tcW w:type="dxa" w:w="2610"/>
          </w:tcPr>
          <w:p w:rsidRDefault="008B2896" w:rsidP="002E5918" w:rsidR="008B2896">
            <w:r>
              <w:t>110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8">
              <w:r>
                <w:rPr>
                  <w:rStyle w:val="Hyperlink"/>
                </w:rPr>
                <w:t>VAR</w:t>
              </w:r>
            </w:hyperlink>
            <w:r>
              <w:t xml:space="preserve"> </w:t>
            </w:r>
          </w:p>
        </w:tc>
      </w:tr>
      <w:tr w:rsidTr="002E5918" w:rsidR="008B2896">
        <w:tc>
          <w:tcPr>
            <w:tcW w:type="dxa" w:w="2628"/>
          </w:tcPr>
          <w:p w:rsidRDefault="008B2896" w:rsidP="002E5918" w:rsidR="008B2896">
            <w:r>
              <w:t>11</w:t>
            </w:r>
          </w:p>
        </w:tc>
        <w:tc>
          <w:tcPr>
            <w:tcW w:type="dxa" w:w="2610"/>
          </w:tcPr>
          <w:p w:rsidRDefault="008B2896" w:rsidP="002E5918" w:rsidR="008B2896">
            <w:r>
              <w:t>111</w:t>
            </w:r>
          </w:p>
        </w:tc>
        <w:tc>
          <w:tcPr>
            <w:tcW w:type="dxa" w:w="1620"/>
          </w:tcPr>
          <w:p w:rsidRDefault="008B2896" w:rsidP="002E5918" w:rsidR="008B2896">
            <w:pPr>
              <w:rPr>
                <w:rStyle w:val="Codefragment"/>
              </w:rPr>
            </w:pPr>
            <w:r>
              <w:t/>
            </w:r>
            <w:hyperlink r:id="rId19">
              <w:r>
                <w:rPr>
                  <w:rStyle w:val="Hyperlink"/>
                </w:rPr>
                <w:t>VARP</w:t>
              </w:r>
            </w:hyperlink>
            <w:r>
              <w:t/>
            </w:r>
          </w:p>
        </w:tc>
      </w:tr>
    </w:tbl>
    <w:p w:rsidRDefault="008B2896" w:rsidP="008B2896" w:rsidR="008B2896"/>
    <w:p w:rsidRDefault="008B2896" w:rsidP="008B2896" w:rsidR="008B2896">
      <w:r>
        <w:t xml:space="preserve">If any argument contains a </w:t>
      </w:r>
      <w:r>
        <w:t>SUBTOTAL</w:t>
      </w:r>
      <w:r>
        <w:t xml:space="preserve"> function call, that call shall be ignored to avoid double counting. </w:t>
      </w:r>
    </w:p>
    <w:p w:rsidRDefault="008B2896" w:rsidP="008B2896" w:rsidR="008B2896">
      <w:r>
        <w:t xml:space="preserve">For the </w:t>
      </w:r>
      <w:r>
        <w:t>function-number</w:t>
      </w:r>
      <w:r>
        <w:t xml:space="preserve"> values 1–11, the values of hidden rows are included. For the </w:t>
      </w:r>
      <w:r>
        <w:t>function-number</w:t>
      </w:r>
      <w:r>
        <w:t xml:space="preserve"> values 101–111, the values of hidden rows are excluded.</w:t>
      </w:r>
    </w:p>
    <w:p w:rsidRDefault="008B2896" w:rsidP="008B2896" w:rsidR="008B2896">
      <w:r>
        <w:t xml:space="preserve">The </w:t>
      </w:r>
      <w:r>
        <w:t>SUBTOTAL</w:t>
      </w:r>
      <w:r>
        <w:t xml:space="preserve"> function shall ignore any rows that are not included in the result of a </w:t>
      </w:r>
      <w:hyperlink r:id="rId20">
        <w:r>
          <w:rPr>
            <w:rStyle w:val="Hyperlink"/>
          </w:rPr>
          <w:t>filter</w:t>
        </w:r>
      </w:hyperlink>
      <w:r>
        <w:t xml:space="preserve">, regardless of which </w:t>
      </w:r>
      <w:r>
        <w:t>function-number</w:t>
      </w:r>
      <w:r>
        <w:t xml:space="preserve"> value is used.</w:t>
      </w:r>
    </w:p>
    <w:p w:rsidRDefault="008B2896" w:rsidP="008B2896" w:rsidR="008B2896">
      <w:r>
        <w:t xml:space="preserve">The </w:t>
      </w:r>
      <w:r>
        <w:t>SUBTOTAL</w:t>
      </w:r>
      <w:r>
        <w:t xml:space="preserve"> function is designed for columns of data, or </w:t>
      </w:r>
      <w:hyperlink r:id="rId21">
        <w:r>
          <w:rPr>
            <w:rStyle w:val="Hyperlink"/>
          </w:rPr>
          <w:t>vertical</w:t>
        </w:r>
      </w:hyperlink>
      <w:r>
        <w:t xml:space="preserve"> ranges. It is not designed for rows of data, or </w:t>
      </w:r>
      <w:hyperlink r:id="rId22">
        <w:r>
          <w:rPr>
            <w:rStyle w:val="Hyperlink"/>
          </w:rPr>
          <w:t>horizontal</w:t>
        </w:r>
      </w:hyperlink>
      <w:r>
        <w:t xml:space="preserve"> ranges. [</w:t>
      </w:r>
      <w:r>
        <w:t>Example</w:t>
      </w:r>
      <w:r>
        <w:t xml:space="preserve">: When a </w:t>
      </w:r>
      <w:hyperlink r:id="rId22">
        <w:r>
          <w:rPr>
            <w:rStyle w:val="Hyperlink"/>
          </w:rPr>
          <w:t>horizontal</w:t>
        </w:r>
      </w:hyperlink>
      <w:r>
        <w:t xml:space="preserve"> range is subtotaled using a </w:t>
      </w:r>
      <w:r>
        <w:t>function-number</w:t>
      </w:r>
      <w:r>
        <w:t xml:space="preserve"> of 101 or greater, hiding a column does not affect the subtotal. However, hiding a </w:t>
      </w:r>
      <w:hyperlink r:id="rId23">
        <w:r>
          <w:rPr>
            <w:rStyle w:val="Hyperlink"/>
          </w:rPr>
          <w:t>row</w:t>
        </w:r>
      </w:hyperlink>
      <w:r>
        <w:t xml:space="preserve"> in a subtotal of a </w:t>
      </w:r>
      <w:hyperlink r:id="rId21">
        <w:r>
          <w:rPr>
            <w:rStyle w:val="Hyperlink"/>
          </w:rPr>
          <w:t>vertical</w:t>
        </w:r>
      </w:hyperlink>
      <w:r>
        <w:t xml:space="preserve"> range does affect the subtotal. </w:t>
      </w:r>
      <w:r>
        <w:t>end example</w:t>
      </w:r>
      <w:r>
        <w:t>]</w:t>
      </w:r>
    </w:p>
    <w:p w:rsidRDefault="008B2896" w:rsidP="008B2896" w:rsidR="008B2896">
      <w:r>
        <w:t xml:space="preserve">Return Type and Value: </w:t>
      </w:r>
      <w:r>
        <w:t xml:space="preserve">number – The result from calling the function designated by </w:t>
      </w:r>
      <w:r>
        <w:t>function-number</w:t>
      </w:r>
      <w:r>
        <w:t xml:space="preserve">, using the </w:t>
      </w:r>
      <w:r>
        <w:t>argument</w:t>
      </w:r>
      <w:r>
        <w:t xml:space="preserve">s in </w:t>
      </w:r>
      <w:r>
        <w:t>argument-list</w:t>
      </w:r>
      <w:r>
        <w:t>.</w:t>
      </w:r>
    </w:p>
    <w:p w:rsidRDefault="008B2896" w:rsidP="008B2896" w:rsidR="008B2896">
      <w:r>
        <w:t xml:space="preserve">However, if </w:t>
      </w:r>
      <w:r>
        <w:t>function-number</w:t>
      </w:r>
      <w:r>
        <w:t xml:space="preserve"> does not have one of the values specified above,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SUBTOTAL(2,E5:E15)</w:t>
      </w:r>
      <w:r>
        <w:t xml:space="preserve"> counts the number of values in the </w:t>
      </w:r>
      <w:hyperlink r:id="rId24">
        <w:r>
          <w:rPr>
            <w:rStyle w:val="Hyperlink"/>
          </w:rPr>
          <w:t>cell</w:t>
        </w:r>
      </w:hyperlink>
      <w:r>
        <w:t xml:space="preserve"> range E5:E15, including hidden values</w:t>
      </w:r>
      <w:r>
        <w:br/>
      </w:r>
      <w:r>
        <w:t>SUBTOTAL(4,E5:E15)</w:t>
      </w:r>
      <w:r>
        <w:t xml:space="preserve"> finds the maximum value of the values in the </w:t>
      </w:r>
      <w:hyperlink r:id="rId24">
        <w:r>
          <w:rPr>
            <w:rStyle w:val="Hyperlink"/>
          </w:rPr>
          <w:t>cell</w:t>
        </w:r>
      </w:hyperlink>
      <w:r>
        <w:t xml:space="preserve"> range E5: E15, including hidden values</w:t>
      </w:r>
      <w:r>
        <w:br/>
      </w:r>
      <w:r>
        <w:t>SUBTOTAL(106,E5:E15)</w:t>
      </w:r>
      <w:r>
        <w:t xml:space="preserve"> finds the product of the values in the </w:t>
      </w:r>
      <w:hyperlink r:id="rId24">
        <w:r>
          <w:rPr>
            <w:rStyle w:val="Hyperlink"/>
          </w:rPr>
          <w:t>cell</w:t>
        </w:r>
      </w:hyperlink>
      <w:r>
        <w:t xml:space="preserve"> range E5: E15, excluding hidden values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AVERAGE.docx" TargetMode="External"/><Relationship Id="rId11" Type="http://schemas.openxmlformats.org/officeDocument/2006/relationships/hyperlink" Target="COUNT.docx" TargetMode="External"/><Relationship Id="rId12" Type="http://schemas.openxmlformats.org/officeDocument/2006/relationships/hyperlink" Target="COUNTA.docx" TargetMode="External"/><Relationship Id="rId13" Type="http://schemas.openxmlformats.org/officeDocument/2006/relationships/hyperlink" Target="MIN.docx" TargetMode="External"/><Relationship Id="rId14" Type="http://schemas.openxmlformats.org/officeDocument/2006/relationships/hyperlink" Target="PRODUCT.docx" TargetMode="External"/><Relationship Id="rId15" Type="http://schemas.openxmlformats.org/officeDocument/2006/relationships/hyperlink" Target="STDEV.docx" TargetMode="External"/><Relationship Id="rId16" Type="http://schemas.openxmlformats.org/officeDocument/2006/relationships/hyperlink" Target="STDEVP.docx" TargetMode="External"/><Relationship Id="rId17" Type="http://schemas.openxmlformats.org/officeDocument/2006/relationships/hyperlink" Target="SUM.docx" TargetMode="External"/><Relationship Id="rId18" Type="http://schemas.openxmlformats.org/officeDocument/2006/relationships/hyperlink" Target="VAR.docx" TargetMode="External"/><Relationship Id="rId19" Type="http://schemas.openxmlformats.org/officeDocument/2006/relationships/hyperlink" Target="VARP.docx" TargetMode="External"/><Relationship Id="rId20" Type="http://schemas.openxmlformats.org/officeDocument/2006/relationships/hyperlink" Target="filter.docx" TargetMode="External"/><Relationship Id="rId21" Type="http://schemas.openxmlformats.org/officeDocument/2006/relationships/hyperlink" Target="vertical.docx" TargetMode="External"/><Relationship Id="rId22" Type="http://schemas.openxmlformats.org/officeDocument/2006/relationships/hyperlink" Target="horizontal.docx" TargetMode="External"/><Relationship Id="rId23" Type="http://schemas.openxmlformats.org/officeDocument/2006/relationships/hyperlink" Target="row.docx" TargetMode="External"/><Relationship Id="rId24" Type="http://schemas.openxmlformats.org/officeDocument/2006/relationships/hyperlink" Target="ce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