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456_1" w:id="100001"/>
      <w:bookmarkStart w:name="book44d02dcd-79c5-44c4-9d09-771b7ba82cd6_1" w:id="100002"/>
      <w:r>
        <w:t>ST_PivotFilterType</w:t>
      </w:r>
      <w:r>
        <w:t xml:space="preserve"> (Pivot Filter Types)</w:t>
      </w:r>
      <w:bookmarkEnd w:id="100001"/>
    </w:p>
    <w:bookmarkEnd w:id="100002"/>
    <w:p w:rsidRDefault="008B2896" w:rsidP="008B2896" w:rsidR="008B2896">
      <w:r>
        <w:t xml:space="preserve">This simple type defines </w:t>
      </w:r>
      <w:hyperlink r:id="rId8">
        <w:r>
          <w:rPr>
            <w:rStyle w:val="Hyperlink"/>
          </w:rPr>
          <w:t>filters</w:t>
        </w:r>
      </w:hyperlink>
      <w:r>
        <w:t xml:space="preserve"> that can be applied to PivotTables.</w:t>
      </w:r>
    </w:p>
    <w:p w:rsidRDefault="008B2896" w:rsidP="008B2896" w:rsidR="008B2896">
      <w:r>
        <w:t xml:space="preserve">This simple type's contents are a restriction of the XML </w:t>
      </w:r>
      <w:hyperlink r:id="rId9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captionBeginsWith</w:t>
            </w:r>
            <w:r>
              <w:t xml:space="preserve"> (Caption Begins With)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"begins with"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</w:t>
            </w:r>
            <w:hyperlink r:id="rId11">
              <w:r>
                <w:rPr>
                  <w:rStyle w:val="Hyperlink"/>
                </w:rPr>
                <w:t>field</w:t>
              </w:r>
            </w:hyperlink>
            <w:r>
              <w:t xml:space="preserve"> captions.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captionBetween</w:t>
            </w:r>
            <w:r>
              <w:t xml:space="preserve"> (Caption Is Between)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"is between"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</w:t>
            </w:r>
            <w:hyperlink r:id="rId11">
              <w:r>
                <w:rPr>
                  <w:rStyle w:val="Hyperlink"/>
                </w:rPr>
                <w:t>field</w:t>
              </w:r>
            </w:hyperlink>
            <w:r>
              <w:t xml:space="preserve"> captions.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captionContains</w:t>
            </w:r>
            <w:r>
              <w:t xml:space="preserve"> (Caption Contains)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"contains"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</w:t>
            </w:r>
            <w:hyperlink r:id="rId11">
              <w:r>
                <w:rPr>
                  <w:rStyle w:val="Hyperlink"/>
                </w:rPr>
                <w:t>field</w:t>
              </w:r>
            </w:hyperlink>
            <w:r>
              <w:t xml:space="preserve"> captions.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captionEndsWith</w:t>
            </w:r>
            <w:r>
              <w:t xml:space="preserve"> (Caption Ends With)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"ends with"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</w:t>
            </w:r>
            <w:hyperlink r:id="rId11">
              <w:r>
                <w:rPr>
                  <w:rStyle w:val="Hyperlink"/>
                </w:rPr>
                <w:t>field</w:t>
              </w:r>
            </w:hyperlink>
            <w:r>
              <w:t xml:space="preserve"> captions.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captionEqual</w:t>
            </w:r>
            <w:r>
              <w:t xml:space="preserve"> (Caption Equals)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"equal"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</w:t>
            </w:r>
            <w:hyperlink r:id="rId11">
              <w:r>
                <w:rPr>
                  <w:rStyle w:val="Hyperlink"/>
                </w:rPr>
                <w:t>field</w:t>
              </w:r>
            </w:hyperlink>
            <w:r>
              <w:t xml:space="preserve"> captions.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captionGreaterThan</w:t>
            </w:r>
            <w:r>
              <w:t xml:space="preserve"> (Caption Is Greater Than)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"is greater than"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</w:t>
            </w:r>
            <w:hyperlink r:id="rId11">
              <w:r>
                <w:rPr>
                  <w:rStyle w:val="Hyperlink"/>
                </w:rPr>
                <w:t>field</w:t>
              </w:r>
            </w:hyperlink>
            <w:r>
              <w:t xml:space="preserve"> captions.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captionGreaterThanOrEqual</w:t>
            </w:r>
            <w:r>
              <w:t xml:space="preserve"> (Caption Is Greater Than Or Equal To)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"is greater than or equal to"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</w:t>
            </w:r>
            <w:hyperlink r:id="rId11">
              <w:r>
                <w:rPr>
                  <w:rStyle w:val="Hyperlink"/>
                </w:rPr>
                <w:t>field</w:t>
              </w:r>
            </w:hyperlink>
            <w:r>
              <w:t xml:space="preserve"> captions.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captionLessThan</w:t>
            </w:r>
            <w:r>
              <w:t xml:space="preserve"> (Caption Is Less Than)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"is less than"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</w:t>
            </w:r>
            <w:hyperlink r:id="rId11">
              <w:r>
                <w:rPr>
                  <w:rStyle w:val="Hyperlink"/>
                </w:rPr>
                <w:t>field</w:t>
              </w:r>
            </w:hyperlink>
            <w:r>
              <w:t xml:space="preserve"> captions.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captionLessThanOrEqual</w:t>
            </w:r>
            <w:r>
              <w:t xml:space="preserve"> (Caption Is Less Than Or Equal To)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"is less than or equal to"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</w:t>
            </w:r>
            <w:hyperlink r:id="rId11">
              <w:r>
                <w:rPr>
                  <w:rStyle w:val="Hyperlink"/>
                </w:rPr>
                <w:t>field</w:t>
              </w:r>
            </w:hyperlink>
            <w:r>
              <w:t xml:space="preserve"> captions.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captionNotBeginsWith</w:t>
            </w:r>
            <w:r>
              <w:t xml:space="preserve"> (Caption Does Not Begin With)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"does not begin with"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</w:t>
            </w:r>
            <w:hyperlink r:id="rId11">
              <w:r>
                <w:rPr>
                  <w:rStyle w:val="Hyperlink"/>
                </w:rPr>
                <w:t>field</w:t>
              </w:r>
            </w:hyperlink>
            <w:r>
              <w:t xml:space="preserve"> captions.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captionNotBetween</w:t>
            </w:r>
            <w:r>
              <w:t xml:space="preserve"> (Caption Is Not Between)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"is not between"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</w:t>
            </w:r>
            <w:hyperlink r:id="rId11">
              <w:r>
                <w:rPr>
                  <w:rStyle w:val="Hyperlink"/>
                </w:rPr>
                <w:t>field</w:t>
              </w:r>
            </w:hyperlink>
            <w:r>
              <w:t xml:space="preserve"> captions.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captionNotContains</w:t>
            </w:r>
            <w:r>
              <w:t xml:space="preserve"> (Caption Does Not Contain)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"does not contain"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</w:t>
            </w:r>
            <w:hyperlink r:id="rId11">
              <w:r>
                <w:rPr>
                  <w:rStyle w:val="Hyperlink"/>
                </w:rPr>
                <w:t>field</w:t>
              </w:r>
            </w:hyperlink>
            <w:r>
              <w:t xml:space="preserve"> captions.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captionNotEndsWith</w:t>
            </w:r>
            <w:r>
              <w:t xml:space="preserve"> (Caption Does Not End With)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"does not end with"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</w:t>
            </w:r>
            <w:hyperlink r:id="rId11">
              <w:r>
                <w:rPr>
                  <w:rStyle w:val="Hyperlink"/>
                </w:rPr>
                <w:t>field</w:t>
              </w:r>
            </w:hyperlink>
            <w:r>
              <w:t xml:space="preserve"> captions.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captionNotEqual</w:t>
            </w:r>
            <w:r>
              <w:t xml:space="preserve"> (Caption Not Equal)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"not equal"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</w:t>
            </w:r>
            <w:hyperlink r:id="rId11">
              <w:r>
                <w:rPr>
                  <w:rStyle w:val="Hyperlink"/>
                </w:rPr>
                <w:t>field</w:t>
              </w:r>
            </w:hyperlink>
            <w:r>
              <w:t xml:space="preserve"> captions.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count</w:t>
            </w:r>
            <w:r>
              <w:t xml:space="preserve"> (Count)</w:t>
            </w:r>
          </w:p>
        </w:tc>
        <w:tc>
          <w:tcPr>
            <w:tcW w:type="pct" w:w="2500"/>
          </w:tcPr>
          <w:p w:rsidRDefault="008B2896" w:rsidP="002E5918" w:rsidR="008B2896">
            <w:r>
              <w:t>Indicates the "count" filter.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dateBetween</w:t>
            </w:r>
            <w:r>
              <w:t xml:space="preserve"> (Date Between)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"between"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date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dateEqual</w:t>
            </w:r>
            <w:r>
              <w:t xml:space="preserve"> (Date Equals)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"equals"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date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dateNewerThan</w:t>
            </w:r>
            <w:r>
              <w:t xml:space="preserve"> (Date Newer Than)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"newer than"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date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dateNewerThanOrEqual</w:t>
            </w:r>
            <w:r>
              <w:t xml:space="preserve"> (Date Newer Than or Equal To)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"newer than or equal to"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date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dateNotBetween</w:t>
            </w:r>
            <w:r>
              <w:t xml:space="preserve"> (Date Not Between)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"not between"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date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dateNotEqual</w:t>
            </w:r>
            <w:r>
              <w:t xml:space="preserve"> (Date Does Not Equal)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"does not equal"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date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dateOlderThan</w:t>
            </w:r>
            <w:r>
              <w:t xml:space="preserve"> (Date Older Than)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"older than"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date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dateOlderThanOrEqual</w:t>
            </w:r>
            <w:r>
              <w:t xml:space="preserve"> (Date Older Than Or Equal)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"older than or equal to"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date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lastMonth</w:t>
            </w:r>
            <w:r>
              <w:t xml:space="preserve"> (Last Month)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"last month"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date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lastQuarter</w:t>
            </w:r>
            <w:r>
              <w:t xml:space="preserve"> (Last Quarter)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"last quarter"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date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lastWeek</w:t>
            </w:r>
            <w:r>
              <w:t xml:space="preserve"> (Last Week)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"last week"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date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lastYear</w:t>
            </w:r>
            <w:r>
              <w:t xml:space="preserve"> (Last Year)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"last year"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date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M1</w:t>
            </w:r>
            <w:r>
              <w:t xml:space="preserve"> (January)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"January"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date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M10</w:t>
            </w:r>
            <w:r>
              <w:t xml:space="preserve"> (Dates in October)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"October"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date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M11</w:t>
            </w:r>
            <w:r>
              <w:t xml:space="preserve"> (Dates in November)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"November"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date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M12</w:t>
            </w:r>
            <w:r>
              <w:t xml:space="preserve"> (Dates in December)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"December"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date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M2</w:t>
            </w:r>
            <w:r>
              <w:t xml:space="preserve"> (Dates in February)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"February"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date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M3</w:t>
            </w:r>
            <w:r>
              <w:t xml:space="preserve"> (Dates in March)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"March"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date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M4</w:t>
            </w:r>
            <w:r>
              <w:t xml:space="preserve"> (Dates in April)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"April"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date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M5</w:t>
            </w:r>
            <w:r>
              <w:t xml:space="preserve"> (Dates in May)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"May"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date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M6</w:t>
            </w:r>
            <w:r>
              <w:t xml:space="preserve"> (Dates in June)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"June"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date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M7</w:t>
            </w:r>
            <w:r>
              <w:t xml:space="preserve"> (Dates in July)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"July"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date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M8</w:t>
            </w:r>
            <w:r>
              <w:t xml:space="preserve"> (Dates in August)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"August"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date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M9</w:t>
            </w:r>
            <w:r>
              <w:t xml:space="preserve"> (Dates in September)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"September"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date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nextMonth</w:t>
            </w:r>
            <w:r>
              <w:t xml:space="preserve"> (Next Month)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"next month"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date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nextQuarter</w:t>
            </w:r>
            <w:r>
              <w:t xml:space="preserve"> (Next Quarter)</w:t>
            </w:r>
          </w:p>
        </w:tc>
        <w:tc>
          <w:tcPr>
            <w:tcW w:type="pct" w:w="2500"/>
          </w:tcPr>
          <w:p w:rsidRDefault="008B2896" w:rsidP="002E5918" w:rsidR="008B2896">
            <w:r>
              <w:t>Indicates the "next quarter" for date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nextWeek</w:t>
            </w:r>
            <w:r>
              <w:t xml:space="preserve"> (Next Week)</w:t>
            </w:r>
          </w:p>
        </w:tc>
        <w:tc>
          <w:tcPr>
            <w:tcW w:type="pct" w:w="2500"/>
          </w:tcPr>
          <w:p w:rsidRDefault="008B2896" w:rsidP="002E5918" w:rsidR="008B2896">
            <w:r>
              <w:t>Indicates the "next week" for date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nextYear</w:t>
            </w:r>
            <w:r>
              <w:t xml:space="preserve"> (Next Year)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"next year"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date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percent</w:t>
            </w:r>
            <w:r>
              <w:t xml:space="preserve"> (Percent)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"percent"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numeric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Q1</w:t>
            </w:r>
            <w:r>
              <w:t xml:space="preserve"> (First Quarter)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"first quarter"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date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Q2</w:t>
            </w:r>
            <w:r>
              <w:t xml:space="preserve"> (Second Quarter)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"second quarter"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date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Q3</w:t>
            </w:r>
            <w:r>
              <w:t xml:space="preserve"> (Third Quarter)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"third quarter"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date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Q4</w:t>
            </w:r>
            <w:r>
              <w:t xml:space="preserve"> (Fourth Quarter)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"fourth quarter"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date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sum</w:t>
            </w:r>
            <w:r>
              <w:t xml:space="preserve"> (Sum)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"sum"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numeric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thisMonth</w:t>
            </w:r>
            <w:r>
              <w:t xml:space="preserve"> (This Month)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"this month"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date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thisQuarter</w:t>
            </w:r>
            <w:r>
              <w:t xml:space="preserve"> (This Quarter)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"this quarter"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date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thisWeek</w:t>
            </w:r>
            <w:r>
              <w:t xml:space="preserve"> (This Week)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"this week"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date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thisYear</w:t>
            </w:r>
            <w:r>
              <w:t xml:space="preserve"> (This Year)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 the "this year"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date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today</w:t>
            </w:r>
            <w:r>
              <w:t xml:space="preserve"> (Today)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"today"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date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tomorrow</w:t>
            </w:r>
            <w:r>
              <w:t xml:space="preserve"> (Tomorrow)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"tomorrow"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date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unknown</w:t>
            </w:r>
            <w:r>
              <w:t xml:space="preserve"> (Unknown)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PivotTable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is unknown to the application.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valueBetween</w:t>
            </w:r>
            <w:r>
              <w:t xml:space="preserve"> (Value Between)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"Value between"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text and numeric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valueEqual</w:t>
            </w:r>
            <w:r>
              <w:t xml:space="preserve"> (Value Equal)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"value equal"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text and numeric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valueGreaterThan</w:t>
            </w:r>
            <w:r>
              <w:t xml:space="preserve"> (Value Greater Than)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"value greater than"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text and numeric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valueGreaterThanOrEqual</w:t>
            </w:r>
            <w:r>
              <w:t xml:space="preserve"> (Value Greater Than Or Equal To)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"value greater than or equal to"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text and numeric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valueLessThan</w:t>
            </w:r>
            <w:r>
              <w:t xml:space="preserve"> (Value Less Than)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"value less than"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text and numeric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valueLessThanOrEqual</w:t>
            </w:r>
            <w:r>
              <w:t xml:space="preserve"> (Value Less Than Or Equal To)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"value less than or equal to"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text and numeric values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valueNotBetween</w:t>
            </w:r>
            <w:r>
              <w:t xml:space="preserve"> (Value Not Between)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"value not between"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text and numeric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valueNotEqual</w:t>
            </w:r>
            <w:r>
              <w:t xml:space="preserve"> (Value Not Equal)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"value not equal"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text and numeric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yearToDate</w:t>
            </w:r>
            <w:r>
              <w:t xml:space="preserve"> (Year-To-Date)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"year-to-date"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date values.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yesterday</w:t>
            </w:r>
            <w:r>
              <w:t xml:space="preserve"> (Yesterday)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Indicates the "yesterday" </w:t>
            </w:r>
            <w:hyperlink r:id="rId10">
              <w:r>
                <w:rPr>
                  <w:rStyle w:val="Hyperlink"/>
                </w:rPr>
                <w:t>filter</w:t>
              </w:r>
            </w:hyperlink>
            <w:r>
              <w:t xml:space="preserve"> for date values.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filter@type</w:t>
            </w:r>
            <w:r>
              <w:t xml:space="preserve"> (§</w:t>
            </w:r>
            <w:fldSimple w:instr="REF bookef95f517-197d-416f-b94e-a1784f2411e5 \r \h">
              <w:r>
                <w:t>3.10.1.33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9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2">
        <w:r>
          <w:rPr>
            <w:rStyle w:val="Hyperlink"/>
          </w:rPr>
          <w:t>name</w:t>
        </w:r>
      </w:hyperlink>
      <w:r>
        <w:t>="ST_PivotFilterType"&gt;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="unknown"/&gt;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="count"/&gt;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="percent"/&gt;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="sum"/&gt;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="captionEqual"/&gt;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="captionNotEqual"/&gt;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="captionBeginsWith"/&gt;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="captionNotBeginsWith"/&gt;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="captionEndsWith"/&gt;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="captionNotEndsWith"/&gt;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="captionContains"/&gt;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="captionNotContains"/&gt;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="captionGreaterThan"/&gt;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="captionGreaterThanOrEqual"/&gt;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="captionLessThan"/&gt;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="captionLessThanOrEqual"/&gt;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="captionBetween"/&gt;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="captionNotBetween"/&gt;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="valueEqual"/&gt;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="valueNotEqual"/&gt;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="valueGreaterThan"/&gt;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="valueGreaterThanOrEqual"/&gt;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="valueLessThan"/&gt;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="valueLessThanOrEqual"/&gt;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="valueBetween"/&gt;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="valueNotBetween"/&gt;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="dateEqual"/&gt;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="dateNotEqual"/&gt;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="dateOlderThan"/&gt;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="dateOlderThanOrEqual"/&gt;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="dateNewerThan"/&gt;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="dateNewerThanOrEqual"/&gt;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="dateBetween"/&gt;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="dateNotBetween"/&gt;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="tomorrow"/&gt;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="today"/&gt;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="yesterday"/&gt;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="nextWeek"/&gt;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="thisWeek"/&gt;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="lastWeek"/&gt;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="nextMonth"/&gt;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="thisMonth"/&gt;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="lastMonth"/&gt;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="nextQuarter"/&gt;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="thisQuarter"/&gt;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="lastQuarter"/&gt;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="nextYear"/&gt;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="thisYear"/&gt;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="lastYear"/&gt;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="yearToDate"/&gt;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="Q1"/&gt;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="Q2"/&gt;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="Q3"/&gt;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="Q4"/&gt;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="M1"/&gt;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="M2"/&gt;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="M3"/&gt;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="M4"/&gt;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="M5"/&gt;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="M6"/&gt;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="M7"/&gt;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="M8"/&gt;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="M9"/&gt;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="M10"/&gt;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="M11"/&gt;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13">
        <w:r>
          <w:rPr>
            <w:rStyle w:val="Hyperlink"/>
          </w:rPr>
          <w:t>value</w:t>
        </w:r>
      </w:hyperlink>
      <w:r>
        <w:t>="M12"/&gt;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  <w:num w:numId="184">
    <w:abstractNumId w:val="4"/>
    <w:lvlOverride w:ilvl="0">
      <w:startOverride w:val="5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ilters.docx" TargetMode="External"/><Relationship Id="rId9" Type="http://schemas.openxmlformats.org/officeDocument/2006/relationships/hyperlink" Target="Schema.docx" TargetMode="External"/><Relationship Id="rId10" Type="http://schemas.openxmlformats.org/officeDocument/2006/relationships/hyperlink" Target="filter.docx" TargetMode="External"/><Relationship Id="rId11" Type="http://schemas.openxmlformats.org/officeDocument/2006/relationships/hyperlink" Target="field.docx" TargetMode="External"/><Relationship Id="rId12" Type="http://schemas.openxmlformats.org/officeDocument/2006/relationships/hyperlink" Target="name.docx" TargetMode="External"/><Relationship Id="rId13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