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4_1" w:id="100001"/>
      <w:bookmarkStart w:name="bookd381a803-a465-49d7-b977-b3084d2ac860_1" w:id="100002"/>
      <w:r>
        <w:t>ST_GroupBy</w:t>
      </w:r>
      <w:r>
        <w:t xml:space="preserve"> (Values Group By)</w:t>
      </w:r>
      <w:bookmarkEnd w:id="100001"/>
    </w:p>
    <w:bookmarkEnd w:id="100002"/>
    <w:p w:rsidRDefault="008B2896" w:rsidP="008B2896" w:rsidR="008B2896">
      <w:r>
        <w:t xml:space="preserve">This simple type defines types of data grouping that can be performed on a PivotTable. 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days</w:t>
            </w:r>
            <w:r>
              <w:t xml:space="preserve"> (Days)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"days"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hours</w:t>
            </w:r>
            <w:r>
              <w:t xml:space="preserve"> (Hours)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"hours"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minutes</w:t>
            </w:r>
            <w:r>
              <w:t xml:space="preserve"> (Minutes)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"minutes"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months</w:t>
            </w:r>
            <w:r>
              <w:t xml:space="preserve"> (Months)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"months"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quarters</w:t>
            </w:r>
            <w:r>
              <w:t xml:space="preserve"> (Quarters)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"quarters"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range</w:t>
            </w:r>
            <w:r>
              <w:t xml:space="preserve"> (Group By Numeric Ranges)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by numeric ranges for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seconds</w:t>
            </w:r>
            <w:r>
              <w:t xml:space="preserve"> (Seconds)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"seconds"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years</w:t>
            </w:r>
            <w:r>
              <w:t xml:space="preserve"> (Years)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a grouping on "years" for date values.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rangePr@groupBy</w:t>
            </w:r>
            <w:r>
              <w:t xml:space="preserve"> (§</w:t>
            </w:r>
            <w:fldSimple w:instr="REF book4dc01527-81aa-4989-8605-49a974951e1e \r \h">
              <w:r>
                <w:t>3.10.1.78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="ST_GroupBy"&gt;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="range"/&gt;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="seconds"/&gt;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="minutes"/&gt;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="hours"/&gt;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="days"/&gt;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="months"/&gt;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="quarters"/&gt;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="years"/&gt;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