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30_1" w:id="100001"/>
      <w:bookmarkStart w:name="bookc528e0e0-174a-4a30-b54b-b048eae6ba70_1" w:id="100002"/>
      <w:r>
        <w:t>ST_FormatAction</w:t>
      </w:r>
      <w:r>
        <w:t xml:space="preserve"> (PivotTable Format Types)</w:t>
      </w:r>
      <w:bookmarkEnd w:id="100001"/>
    </w:p>
    <w:bookmarkEnd w:id="100002"/>
    <w:p w:rsidRDefault="008B2896" w:rsidP="008B2896" w:rsidR="008B2896">
      <w:r>
        <w:t xml:space="preserve">This simple type defines the type of </w:t>
      </w:r>
      <w:hyperlink r:id="rId8">
        <w:r>
          <w:rPr>
            <w:rStyle w:val="Hyperlink"/>
          </w:rPr>
          <w:t>formats</w:t>
        </w:r>
      </w:hyperlink>
      <w:r>
        <w:t xml:space="preserve"> that can be applied to PivotTables.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blank</w:t>
            </w:r>
            <w:r>
              <w:t xml:space="preserve"> (Blank)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no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is applied to the PivotTable. This value is used when formatting is cleared from already formatted cells in the PivotTable.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drill</w:t>
            </w:r>
            <w:r>
              <w:t xml:space="preserve"> (Drill Type)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the PivotTable has drill-through format.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formatting</w:t>
            </w:r>
            <w:r>
              <w:t xml:space="preserve"> (Formatting)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the PivotTable has formatting.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formula</w:t>
              </w:r>
            </w:hyperlink>
            <w:r>
              <w:t/>
            </w:r>
            <w:r>
              <w:t xml:space="preserve"> (Formula Type)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the PivotTable has formulas.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format@action</w:t>
            </w:r>
            <w:r>
              <w:t xml:space="preserve"> (§</w:t>
            </w:r>
            <w:fldSimple w:instr="REF book74e1aae2-d2cd-4ef9-93a7-49b5aa31d596 \r \h">
              <w:r>
                <w:t>3.10.1.35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="ST_FormatAction"&gt;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="blank"/&gt;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="formatting"/&gt;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="drill"/&gt;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</w:t>
      </w:r>
      <w:hyperlink r:id="rId11">
        <w:r>
          <w:rPr>
            <w:rStyle w:val="Hyperlink"/>
          </w:rPr>
          <w:t>formula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s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formula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