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11_1" w:id="100001"/>
      <w:bookmarkStart w:name="book8e5a5009-a9c5-4d56-8bd3-edf98ca80703_1" w:id="100002"/>
      <w:r>
        <w:t>ST_ConditionalFormattingOperator</w:t>
      </w:r>
      <w:r>
        <w:t xml:space="preserve"> (Conditional Format Operators)</w:t>
      </w:r>
      <w:bookmarkEnd w:id="100001"/>
    </w:p>
    <w:bookmarkEnd w:id="100002"/>
    <w:p w:rsidRDefault="008B2896" w:rsidP="008B2896" w:rsidR="008B2896">
      <w:r>
        <w:t xml:space="preserve">These conditional </w:t>
      </w:r>
      <w:hyperlink r:id="rId8">
        <w:r>
          <w:rPr>
            <w:rStyle w:val="Hyperlink"/>
          </w:rPr>
          <w:t>format</w:t>
        </w:r>
      </w:hyperlink>
      <w:r>
        <w:t xml:space="preserve"> operators are used for "Highlight Cells That Contain…" rules. For example, "highlight cells that begin with "M2" and contain "Mountain Gear"". 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beginsWith</w:t>
            </w:r>
            <w:r>
              <w:t xml:space="preserve"> (Begins With)</w:t>
            </w:r>
          </w:p>
        </w:tc>
        <w:tc>
          <w:tcPr>
            <w:tcW w:type="pct" w:w="2500"/>
          </w:tcPr>
          <w:p w:rsidRDefault="008B2896" w:rsidP="002E5918" w:rsidR="008B2896">
            <w:r>
              <w:t>'Begins with'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between</w:t>
            </w:r>
            <w:r>
              <w:t xml:space="preserve"> (Between)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>'Between'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containsText</w:t>
            </w:r>
            <w:r>
              <w:t xml:space="preserve"> (Contains)</w:t>
            </w:r>
          </w:p>
        </w:tc>
        <w:tc>
          <w:tcPr>
            <w:tcW w:type="pct" w:w="2500"/>
          </w:tcPr>
          <w:p w:rsidRDefault="008B2896" w:rsidP="002E5918" w:rsidR="008B2896">
            <w:r>
              <w:t>'Contains'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endsWith</w:t>
            </w:r>
            <w:r>
              <w:t xml:space="preserve"> (Ends With)</w:t>
            </w:r>
          </w:p>
        </w:tc>
        <w:tc>
          <w:tcPr>
            <w:tcW w:type="pct" w:w="2500"/>
          </w:tcPr>
          <w:p w:rsidRDefault="008B2896" w:rsidP="002E5918" w:rsidR="008B2896">
            <w:r>
              <w:t>'Ends with'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equal</w:t>
            </w:r>
            <w:r>
              <w:t xml:space="preserve"> (Equal)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>'Equal to'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greaterThan</w:t>
            </w:r>
            <w:r>
              <w:t xml:space="preserve"> (Greater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>'Greater than'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greaterThanOrEqual</w:t>
            </w:r>
            <w:r>
              <w:t xml:space="preserve"> (Greater Than Or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>'Greater than or equal to'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lessThan</w:t>
            </w:r>
            <w:r>
              <w:t xml:space="preserve"> (Less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>'Less than'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lessThanOrEqual</w:t>
            </w:r>
            <w:r>
              <w:t xml:space="preserve"> (Less Than Or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>'Less than or equal to'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notBetween</w:t>
            </w:r>
            <w:r>
              <w:t xml:space="preserve"> (Not 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>'Not between'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notContains</w:t>
            </w:r>
            <w:r>
              <w:t xml:space="preserve"> (Does Not Contain)</w:t>
            </w:r>
          </w:p>
        </w:tc>
        <w:tc>
          <w:tcPr>
            <w:tcW w:type="pct" w:w="2500"/>
          </w:tcPr>
          <w:p w:rsidRDefault="008B2896" w:rsidP="002E5918" w:rsidR="008B2896">
            <w:r>
              <w:t>'Does not contain' operator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notEqual</w:t>
            </w:r>
            <w:r>
              <w:t xml:space="preserve"> (Not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>'Not equal to' operator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cfRule@operator</w:t>
            </w:r>
            <w:r>
              <w:t xml:space="preserve"> (§</w:t>
            </w:r>
            <w:fldSimple w:instr="REF bookc6aa6c5e-c3fb-4b03-8cdf-8439ccd595c2 \r \h">
              <w:r>
                <w:t>3.3.1.9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="ST_ConditionalFormattingOperator"&gt;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="lessThan"/&gt;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="lessThanOrEqual"/&gt;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="notEqual"/&gt;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="greaterThanOrEqual"/&gt;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="greaterThan"/&gt;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="notBetween"/&gt;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="containsText"/&gt;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="notContains"/&gt;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="beginsWith"/&gt;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="endsWith"/&gt;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