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09_1" w:id="100001"/>
      <w:bookmarkStart w:name="booke4c7d156-967e-4f63-9ddc-0c3f08483ec4_1" w:id="100002"/>
      <w:r>
        <w:t>ST_CfvoType</w:t>
      </w:r>
      <w:r>
        <w:t xml:space="preserve"> (Conditional Format Value Object Type)</w:t>
      </w:r>
      <w:bookmarkEnd w:id="100001"/>
    </w:p>
    <w:bookmarkEnd w:id="100002"/>
    <w:p w:rsidRDefault="008B2896" w:rsidP="008B2896" w:rsidR="008B2896">
      <w:r>
        <w:t xml:space="preserve">This simple type expresses the type of the conditional formatting value object (cfvo). In general the </w:t>
      </w:r>
      <w:hyperlink r:id="rId8">
        <w:r>
          <w:rPr>
            <w:rStyle w:val="Hyperlink"/>
          </w:rPr>
          <w:t>cfvo</w:t>
        </w:r>
      </w:hyperlink>
      <w:r>
        <w:t xml:space="preserve"> specifies one value used in the gradated scale (max, min, midpoint, etc).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formula</w:t>
              </w:r>
            </w:hyperlink>
            <w:r>
              <w:t/>
            </w:r>
            <w:r>
              <w:t xml:space="preserve"> (Formula)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minimum/ midpoint / maximum value for the gradient is determined by a formula.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max</w:t>
            </w:r>
            <w:r>
              <w:t xml:space="preserve"> (Maximum)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maximum value in the range shall be used as the maximum value for the gradient.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min</w:t>
            </w:r>
            <w:r>
              <w:t xml:space="preserve"> (Minimum)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minimum value in the range shall be used as the minimum value for the gradient.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num</w:t>
            </w:r>
            <w:r>
              <w:t xml:space="preserve"> (Number)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minimum / midpoint / maximum value for the gradient  is specified by a constant numeric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percent</w:t>
            </w:r>
            <w:r>
              <w:t xml:space="preserve"> (Percent)</w:t>
            </w:r>
          </w:p>
        </w:tc>
        <w:tc>
          <w:tcPr>
            <w:tcW w:type="pct" w:w="2500"/>
          </w:tcPr>
          <w:p w:rsidRDefault="008B2896" w:rsidP="002E5918" w:rsidR="008B2896">
            <w:r>
              <w:t>Value indicates a percentage between the minimum and maximum values in the range shall be used as the minimum / midpoint / maximum value for the gradient.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percentile</w:t>
            </w:r>
            <w:r>
              <w:t xml:space="preserve"> (Percentile)</w:t>
            </w:r>
          </w:p>
        </w:tc>
        <w:tc>
          <w:tcPr>
            <w:tcW w:type="pct" w:w="2500"/>
          </w:tcPr>
          <w:p w:rsidRDefault="008B2896" w:rsidP="002E5918" w:rsidR="008B2896">
            <w:r>
              <w:t>Value indicates a percentile ranking in the range shall be used as the minimum / midpoint / maximum value for the gradient.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cfvo@type</w:t>
            </w:r>
            <w:r>
              <w:t xml:space="preserve"> (§</w:t>
            </w:r>
            <w:fldSimple w:instr="REF book52b65ae7-58c5-4dfb-8f88-1c6fdb9faac6 \r \h">
              <w:r>
                <w:t>3.3.1.10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="ST_CfvoType"&gt;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="num"/&gt;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="percent"/&gt;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="max"/&gt;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="min"/&gt;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formula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="percentile"/&gt;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fvo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formula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