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399_1" w:id="100001"/>
      <w:bookmarkStart w:name="book6ce681ea-6437-4871-9989-5cbfc9d0d6c5_1" w:id="100002"/>
      <w:r>
        <w:t>ST_CalcMode</w:t>
      </w:r>
      <w:r>
        <w:t xml:space="preserve"> (Calculation Mode)</w:t>
      </w:r>
      <w:bookmarkEnd w:id="100001"/>
    </w:p>
    <w:bookmarkEnd w:id="100002"/>
    <w:p w:rsidRDefault="008B2896" w:rsidP="008B2896" w:rsidR="008B2896">
      <w:r>
        <w:t xml:space="preserve">This simple type defines the supported modes for performing calculations on </w:t>
      </w:r>
      <w:hyperlink r:id="rId8">
        <w:r>
          <w:rPr>
            <w:rStyle w:val="Hyperlink"/>
          </w:rPr>
          <w:t>workbook</w:t>
        </w:r>
      </w:hyperlink>
      <w:r>
        <w:t xml:space="preserve"> data.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auto</w:t>
            </w:r>
            <w:r>
              <w:t xml:space="preserve"> (Automatic)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that calculations in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will be performed automatically when </w:t>
            </w:r>
            <w:hyperlink r:id="rId10">
              <w:r>
                <w:rPr>
                  <w:rStyle w:val="Hyperlink"/>
                </w:rPr>
                <w:t>cell</w:t>
              </w:r>
            </w:hyperlink>
            <w:r>
              <w:t xml:space="preserve"> values change. The application recalculates those cells that are dependent on other cells that contain changed values. This type of calculation helps to avoid unnecessary calculations.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autoNoTable</w:t>
            </w:r>
            <w:r>
              <w:t xml:space="preserve"> (Automatic Calculation (No Tables))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</w:t>
            </w:r>
            <w:hyperlink r:id="rId11">
              <w:r>
                <w:rPr>
                  <w:rStyle w:val="Hyperlink"/>
                </w:rPr>
                <w:t>tables</w:t>
              </w:r>
            </w:hyperlink>
            <w:r>
              <w:t xml:space="preserve"> be excluded during automatic calculation.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manual</w:t>
            </w:r>
            <w:r>
              <w:t xml:space="preserve"> (Manual Calculation Mode)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that calculations in the </w:t>
            </w:r>
            <w:hyperlink r:id="rId8">
              <w:r>
                <w:rPr>
                  <w:rStyle w:val="Hyperlink"/>
                </w:rPr>
                <w:t>workbook</w:t>
              </w:r>
            </w:hyperlink>
            <w:r>
              <w:t xml:space="preserve"> be triggered manually by the user. For example, the application might expose a command in the user interface.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calcPr@calcMode</w:t>
            </w:r>
            <w:r>
              <w:t xml:space="preserve"> (§</w:t>
            </w:r>
            <w:fldSimple w:instr="REF bookbe78c7c5-f2c9-4c7d-a269-d2d99e7273e1 \r \h">
              <w:r>
                <w:t>3.2.2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="ST_CalcMode"&gt;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="manual"/&gt;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="auto"/&gt;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="autoNoTable"/&gt;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workbook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cell.docx" TargetMode="External"/><Relationship Id="rId11" Type="http://schemas.openxmlformats.org/officeDocument/2006/relationships/hyperlink" Target="tables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