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9"/>
    <w:bookmarkStart w:name="1_bookmark8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06_1" w:id="100001"/>
      <w:bookmarkStart w:name="_Toc142462305_1" w:id="100002"/>
      <w:bookmarkStart w:name="_Toc147897309_1" w:id="100003"/>
      <w:r>
        <w:t>RATE</w:t>
      </w:r>
      <w:bookmarkStart w:name="_Ref130651602_1" w:id="100004"/>
      <w:bookmarkStart w:name="_Toc133292277_1" w:id="100005"/>
      <w:bookmarkStart w:name="_Ref133905593_1" w:id="100006"/>
      <w:bookmarkStart w:name="_Toc133915207_1" w:id="100007"/>
      <w:bookmarkEnd w:id="100008"/>
      <w:bookmarkEnd w:id="100009"/>
      <w:bookmarkEnd w:id="100001"/>
      <w:bookmarkEnd w:id="100002"/>
      <w:bookmarkEnd w:id="100003"/>
      <w:r>
        <w:fldChar w:fldCharType="begin"/>
      </w:r>
      <w:r>
        <w:instrText xml:space="preserve"> XE "RATE SpreadsheetML function" \b </w:instrText>
      </w:r>
      <w:r>
        <w:fldChar w:fldCharType="end"/>
      </w:r>
    </w:p>
    <w:p w:rsidRDefault="008B2896" w:rsidP="008B2896" w:rsidR="008B2896">
      <w:r>
        <w:t>Syntax:</w:t>
      </w:r>
    </w:p>
    <w:p w:rsidRDefault="008B2896" w:rsidP="008B2896" w:rsidR="008B2896">
      <w:pPr>
        <w:pStyle w:val="Grammar"/>
        <w:rPr>
          <w:rStyle w:val="Terminal"/>
        </w:rPr>
      </w:pPr>
      <w:r>
        <w:t>RATE</w:t>
      </w:r>
      <w:r>
        <w:t xml:space="preserve">  </w:t>
      </w:r>
      <w:r>
        <w:t>(</w:t>
      </w:r>
      <w:r>
        <w:t xml:space="preserve">  nper  </w:t>
      </w:r>
      <w:r>
        <w:t>,</w:t>
      </w:r>
      <w:r>
        <w:t xml:space="preserve">  pmt  </w:t>
      </w:r>
      <w:r>
        <w:t>,</w:t>
      </w:r>
      <w:r>
        <w:t xml:space="preserve">  pv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</w:t>
      </w:r>
      <w:r>
        <w:t>[</w:t>
      </w:r>
      <w:r>
        <w:t xml:space="preserve">  fv </w:t>
      </w:r>
      <w:r>
        <w:t xml:space="preserve">] </w:t>
      </w:r>
      <w:r>
        <w:t xml:space="preserve">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</w:t>
      </w:r>
      <w:r>
        <w:t>[</w:t>
      </w:r>
      <w:r>
        <w:t xml:space="preserve">  type  </w:t>
      </w:r>
      <w:r>
        <w:t>]</w:t>
      </w:r>
      <w:r>
        <w:t xml:space="preserve">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guess 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 Computes the interest rate per period of an annuity, using iteration, which can result in zero or more solutions.</w:t>
      </w:r>
    </w:p>
    <w:p w:rsidRDefault="008B2896" w:rsidP="008B2896" w:rsidR="008B2896"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nper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total number of payment periods.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pmt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payment made each period and cannot change over the life of the annuity. (Typically, </w:t>
            </w:r>
            <w:r>
              <w:t>pmt</w:t>
            </w:r>
            <w:r>
              <w:t xml:space="preserve"> includes principal and interest but no other fees or taxes.) If omitted, </w:t>
            </w:r>
            <w:r>
              <w:t>fv</w:t>
            </w:r>
            <w:r>
              <w:t xml:space="preserve"> shall be present.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present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future value, or a cash balance to be attained after the last payment is made. If omitted, it is assumed to be 0 (i.e., the future value of a loan, for example, is 0).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timing of the payment, truncated to integer,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454"/>
              <w:gridCol w:w="2986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Timing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end of the period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beginning of the period</w:t>
                  </w:r>
                </w:p>
              </w:tc>
            </w:tr>
          </w:tbl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guess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A guess for what the rate will be. If omitted, it is assumed to be 10 percent.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Value: number – The interest rate per period of an annuity.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56"/>
        </w:numPr>
      </w:pPr>
      <w:r>
        <w:t>type</w:t>
      </w:r>
      <w:r>
        <w:t xml:space="preserve"> is any number other than 0 or 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result has not converged after an implementation-defined number of iterations,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RATE(4*12,-200,8000)</w:t>
      </w:r>
      <w:r>
        <w:t xml:space="preserve"> results in </w:t>
      </w:r>
      <w:r>
        <w:t>0.7701%</w:t>
      </w:r>
      <w:r>
        <w:br/>
      </w:r>
      <w:r>
        <w:t>RATE(4*12,-200,8000)*12</w:t>
      </w:r>
      <w:r>
        <w:t xml:space="preserve"> results in </w:t>
      </w:r>
      <w:r>
        <w:t>9.2418%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