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10"/>
    <w:bookmarkStart w:name="1_bookmark9"/>
    <w:bookmarkStart w:name="1_bookmark8"/>
    <w:bookmarkStart w:name="1_bookmark7"/>
    <w:p w:rsidRDefault="008B2896" w:rsidP="008B2896" w:rsidR="008B2896">
      <w:pPr>
        <w:pStyle w:val="Heading4"/>
        <w:numPr>
          <w:ilvl w:val="0"/>
          <w:numId w:val="0"/>
        </w:numPr>
      </w:pPr>
      <w:bookmarkStart w:name="_Toc142462277_1" w:id="100001"/>
      <w:bookmarkStart w:name="_Toc147897281_1" w:id="100002"/>
      <w:r>
        <w:t>ODDFYIELD</w:t>
      </w:r>
      <w:bookmarkStart w:name="_Ref130651593_1" w:id="100003"/>
      <w:bookmarkStart w:name="_Toc133292249_1" w:id="100004"/>
      <w:bookmarkStart w:name="_Ref133905588_1" w:id="100005"/>
      <w:bookmarkStart w:name="_Toc133915179_1" w:id="100006"/>
      <w:bookmarkEnd w:id="100007"/>
      <w:bookmarkEnd w:id="100008"/>
      <w:bookmarkEnd w:id="100009"/>
      <w:bookmarkEnd w:id="100010"/>
      <w:bookmarkEnd w:id="100001"/>
      <w:bookmarkEnd w:id="100002"/>
      <w:r>
        <w:fldChar w:fldCharType="begin"/>
      </w:r>
      <w:r>
        <w:instrText xml:space="preserve"> XE "ODDFYIELD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  <w:rPr>
          <w:rStyle w:val="Terminal"/>
        </w:rPr>
      </w:pPr>
      <w:r>
        <w:t>ODDFYIELD</w:t>
      </w:r>
      <w:r>
        <w:t xml:space="preserve">  </w:t>
      </w:r>
      <w:r>
        <w:t>(</w:t>
      </w:r>
      <w:r>
        <w:t xml:space="preserve">  settlement  </w:t>
      </w:r>
      <w:r>
        <w:t>,</w:t>
      </w:r>
      <w:r>
        <w:t xml:space="preserve">  maturity  </w:t>
      </w:r>
      <w:r>
        <w:t>,</w:t>
      </w:r>
      <w:r>
        <w:t xml:space="preserve">  issue  </w:t>
      </w:r>
      <w:r>
        <w:t>,</w:t>
      </w:r>
      <w:r>
        <w:t xml:space="preserve">  first-coupon  </w:t>
      </w:r>
      <w:r>
        <w:t>,</w:t>
      </w:r>
      <w:r>
        <w:t xml:space="preserve">  rate  </w:t>
      </w:r>
      <w:r>
        <w:t>,</w:t>
      </w:r>
      <w:r>
        <w:t xml:space="preserve">  pr  </w:t>
      </w:r>
      <w:r>
        <w:t>,</w:t>
      </w:r>
      <w:r>
        <w:t xml:space="preserve">  redemption  </w:t>
      </w:r>
      <w:r>
        <w:t>,</w:t>
      </w:r>
      <w:r>
        <w:br/>
      </w:r>
      <w:r>
        <w:t xml:space="preserve">frequency  </w:t>
      </w:r>
      <w:r>
        <w:t>[</w:t>
      </w:r>
      <w:r>
        <w:t xml:space="preserve">  </w:t>
      </w:r>
      <w:r>
        <w:t>,</w:t>
      </w:r>
      <w:r>
        <w:t xml:space="preserve"> </w:t>
      </w:r>
      <w:r>
        <w:t>[</w:t>
      </w:r>
      <w:r>
        <w:t xml:space="preserve">  basis  </w:t>
      </w:r>
      <w:r>
        <w:t>]</w:t>
      </w:r>
      <w:r>
        <w:t xml:space="preserve">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</w:t>
      </w:r>
      <w:r>
        <w:t>: Computes the yield of a security that has an odd (short or long) first period.</w:t>
      </w:r>
    </w:p>
    <w:p w:rsidRDefault="008B2896" w:rsidP="008B2896" w:rsidR="008B2896">
      <w:r>
        <w:t>Arguments</w:t>
      </w:r>
      <w:r>
        <w:t>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settlement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settlement date.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maturity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maturity date.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issue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issue date.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first-coupon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first coupon date.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rate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interest rate.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pr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price.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redemption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redemption value per $100 face value.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frequency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number of coupon payments per year. (For annual payments, </w:t>
            </w:r>
            <w:r>
              <w:t>frequency</w:t>
            </w:r>
            <w:r>
              <w:t xml:space="preserve"> is 1; for semiannual payments, </w:t>
            </w:r>
            <w:r>
              <w:t>frequency</w:t>
            </w:r>
            <w:r>
              <w:t xml:space="preserve"> is 2; for quarterly payments, </w:t>
            </w:r>
            <w:r>
              <w:t>frequency</w:t>
            </w:r>
            <w:r>
              <w:t xml:space="preserve"> is 4.)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basis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truncated integer type of day count basis to use, as follows:</w:t>
            </w:r>
            <w:r>
              <w:br/>
            </w:r>
          </w:p>
          <w:tbl>
            <w:tblPr>
              <w:tblStyle w:val="IndentedElementTable"/>
              <w:tblW w:type="auto" w:w="0"/>
              <w:tblLook w:val="04A0" w:noVBand="1" w:noHBand="0" w:lastColumn="0" w:firstColumn="1" w:lastRow="0" w:firstRow="1"/>
            </w:tblPr>
            <w:tblGrid>
              <w:gridCol w:w="1818"/>
              <w:gridCol w:w="2340"/>
            </w:tblGrid>
            <w:tr w:rsidTr="002E5918" w:rsidR="008B2896">
              <w:trPr>
                <w:cnfStyle w:val="100000000000"/>
              </w:trPr>
              <w:tc>
                <w:tcPr>
                  <w:tcW w:type="dxa" w:w="1818"/>
                </w:tcPr>
                <w:p w:rsidRDefault="008B2896" w:rsidP="002E5918" w:rsidR="008B2896">
                  <w:r>
                    <w:t>Value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Day Count Basis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r>
                    <w:t>0</w:t>
                  </w:r>
                  <w:r>
                    <w:t xml:space="preserve"> or omitted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US (NASD) 30/360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1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Actual/actual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2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Actual/360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3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Actual/365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4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European 30/360</w:t>
                  </w:r>
                </w:p>
              </w:tc>
            </w:tr>
          </w:tbl>
          <w:p w:rsidRDefault="008B2896" w:rsidP="002E5918" w:rsidR="008B2896"/>
        </w:tc>
      </w:tr>
    </w:tbl>
    <w:p w:rsidRDefault="008B2896" w:rsidP="008B2896" w:rsidR="008B2896"/>
    <w:p w:rsidRDefault="008B2896" w:rsidP="008B2896" w:rsidR="008B2896">
      <w:r>
        <w:t>Time information in the date arguments is ignored.</w:t>
      </w:r>
    </w:p>
    <w:p w:rsidRDefault="008B2896" w:rsidP="008B2896" w:rsidR="008B2896">
      <w:r>
        <w:t>Return Type and Value</w:t>
      </w:r>
      <w:r>
        <w:t>: number – The yield of a security that has an odd (short or long) first period.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141"/>
        </w:numPr>
      </w:pPr>
      <w:r>
        <w:t>settlement</w:t>
      </w:r>
      <w:r>
        <w:t xml:space="preserve">, </w:t>
      </w:r>
      <w:r>
        <w:t>maturity</w:t>
      </w:r>
      <w:r>
        <w:t xml:space="preserve">, </w:t>
      </w:r>
      <w:r>
        <w:t>issue</w:t>
      </w:r>
      <w:r>
        <w:t xml:space="preserve">, or </w:t>
      </w:r>
      <w:r>
        <w:t>first-coupon</w:t>
      </w:r>
      <w:r>
        <w:t xml:space="preserve"> is out of range for the current date base value,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 xml:space="preserve">The following is not true: </w:t>
      </w:r>
      <w:r>
        <w:t>maturity</w:t>
      </w:r>
      <w:r>
        <w:t xml:space="preserve"> is later than </w:t>
      </w:r>
      <w:r>
        <w:t>first-coupon</w:t>
      </w:r>
      <w:r>
        <w:t xml:space="preserve">, which is later than </w:t>
      </w:r>
      <w:r>
        <w:t>settlement</w:t>
      </w:r>
      <w:r>
        <w:t xml:space="preserve">, which is later than </w:t>
      </w:r>
      <w:r>
        <w:t>issue</w:t>
      </w:r>
      <w:r>
        <w:t xml:space="preserve">, so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rate</w:t>
      </w:r>
      <w:r>
        <w:t xml:space="preserve"> or </w:t>
      </w:r>
      <w:r>
        <w:t>pr </w:t>
      </w:r>
      <w:r>
        <w:t xml:space="preserve">&lt; 0,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frequency</w:t>
      </w:r>
      <w:r>
        <w:t xml:space="preserve"> is any number other than 1, 2, or 4,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basis </w:t>
      </w:r>
      <w:r>
        <w:t xml:space="preserve">&lt; 0 or </w:t>
      </w:r>
      <w:r>
        <w:t>basis </w:t>
      </w:r>
      <w:r>
        <w:t xml:space="preserve">&gt; 4,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ODDFYIELD(DATE(2008,11,11),DATE(2021,3,1),DATE(2008,10,15),DATE(2009,3,1),</w:t>
      </w:r>
      <w:r>
        <w:br/>
      </w:r>
      <w:r>
        <w:t xml:space="preserve">  0.0575,84.5,100,2,0)</w:t>
      </w:r>
      <w:r>
        <w:t xml:space="preserve"> results in</w:t>
      </w:r>
      <w:r>
        <w:t xml:space="preserve"> 7.7246%</w:t>
      </w:r>
      <w:r>
        <w:br/>
      </w:r>
      <w:r>
        <w:br/>
      </w:r>
      <w:r>
        <w:t>end example</w:t>
      </w:r>
      <w:r>
        <w:t>]</w:t>
      </w:r>
    </w:p>
    <w:bookmarkEnd w:id="100003"/>
    <w:bookmarkEnd w:id="100004"/>
    <w:bookmarkEnd w:id="100005"/>
    <w:bookmarkEnd w:id="100006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