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45.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10"/>
    <w:bookmarkStart w:name="1_bookmark9"/>
    <w:bookmarkStart w:name="1_bookmark8"/>
    <w:bookmarkStart w:name="1_bookmark7"/>
    <w:p w:rsidRDefault="008B2896" w:rsidP="008B2896" w:rsidR="008B2896">
      <w:pPr>
        <w:pStyle w:val="Heading4"/>
        <w:numPr>
          <w:ilvl w:val="0"/>
          <w:numId w:val="0"/>
        </w:numPr>
      </w:pPr>
      <w:bookmarkStart w:name="_Toc142462271_1" w:id="100001"/>
      <w:bookmarkStart w:name="_Toc147897275_1" w:id="100002"/>
      <w:r>
        <w:t>NPV</w:t>
      </w:r>
      <w:bookmarkStart w:name="_Ref130651100_1" w:id="100003"/>
      <w:bookmarkStart w:name="_Toc133292243_1" w:id="100004"/>
      <w:bookmarkStart w:name="_Ref133905567_1" w:id="100005"/>
      <w:bookmarkStart w:name="_Toc133915173_1" w:id="100006"/>
      <w:bookmarkEnd w:id="100007"/>
      <w:bookmarkEnd w:id="100008"/>
      <w:bookmarkEnd w:id="100009"/>
      <w:bookmarkEnd w:id="100010"/>
      <w:bookmarkEnd w:id="100001"/>
      <w:bookmarkEnd w:id="100002"/>
      <w:r>
        <w:fldChar w:fldCharType="begin"/>
      </w:r>
      <w:r>
        <w:instrText xml:space="preserve"> XE "NPV SpreadsheetML function" \b </w:instrText>
      </w:r>
      <w:r>
        <w:fldChar w:fldCharType="end"/>
      </w:r>
    </w:p>
    <w:p w:rsidRDefault="008B2896" w:rsidP="008B2896" w:rsidR="008B2896">
      <w:r>
        <w:t/>
      </w:r>
      <w:hyperlink r:id="rId9">
        <w:r>
          <w:rPr>
            <w:rStyle w:val="Hyperlink"/>
          </w:rPr>
          <w:t>Syntax</w:t>
        </w:r>
      </w:hyperlink>
      <w:r>
        <w:t/>
      </w:r>
      <w:r>
        <w:t>:</w:t>
      </w:r>
    </w:p>
    <w:p w:rsidRDefault="008B2896" w:rsidP="008B2896" w:rsidR="008B2896">
      <w:pPr>
        <w:pStyle w:val="Grammar"/>
      </w:pPr>
      <w:r>
        <w:t>NPV</w:t>
      </w:r>
      <w:r>
        <w:t xml:space="preserve">  </w:t>
      </w:r>
      <w:r>
        <w:t>(</w:t>
      </w:r>
      <w:r>
        <w:t xml:space="preserve">  rate  </w:t>
      </w:r>
      <w:r>
        <w:t>,</w:t>
      </w:r>
      <w:r>
        <w:t xml:space="preserve">  argument-list  </w:t>
      </w:r>
      <w:r>
        <w:t>)</w:t>
      </w:r>
    </w:p>
    <w:p w:rsidRDefault="008B2896" w:rsidP="008B2896" w:rsidR="008B2896">
      <w:r>
        <w:t>Description</w:t>
      </w:r>
      <w:r>
        <w:t>: Calculates the net present value of an investment by using a discount rate and a series of future payments and income.</w:t>
      </w:r>
    </w:p>
    <w:p w:rsidRDefault="008B2896" w:rsidP="008B2896" w:rsidR="008B2896">
      <w:r>
        <w:t xml:space="preserve">The </w:t>
      </w:r>
      <w:r>
        <w:t>NPV</w:t>
      </w:r>
      <w:r>
        <w:t xml:space="preserve"> investment begins one period before the date of the first </w:t>
      </w:r>
      <w:r>
        <w:t>argument</w:t>
      </w:r>
      <w:r>
        <w:t xml:space="preserve"> cash flow and ends with the last cash flow in the list. The calculation is based on future cash flows. If the first cash flow occurs at the beginning of the first period, the first value shall be added to the </w:t>
      </w:r>
      <w:r>
        <w:t>NPV</w:t>
      </w:r>
      <w:r>
        <w:t xml:space="preserve"> result, not included in </w:t>
      </w:r>
      <w:r>
        <w:t>argument-list</w:t>
      </w:r>
      <w:r>
        <w:t>.</w:t>
      </w:r>
    </w:p>
    <w:p w:rsidRDefault="008B2896" w:rsidP="008B2896" w:rsidR="008B2896">
      <w:r>
        <w:t>Mathematical Formula</w:t>
      </w:r>
      <w:r>
        <w:t>:</w:t>
      </w:r>
    </w:p>
    <w:p w:rsidRDefault="008B2896" w:rsidP="008B2896" w:rsidR="008B2896">
      <w:r>
        <w:t xml:space="preserve">If </w:t>
      </w:r>
      <w:hyperlink r:id="rId10">
        <w:r>
          <w:rPr>
            <w:rStyle w:val="Hyperlink"/>
          </w:rPr>
          <w:t>n</w:t>
        </w:r>
      </w:hyperlink>
      <w:r>
        <w:t xml:space="preserve"> is the number of cash flows in the list of values: </w:t>
      </w:r>
    </w:p>
    <w:p w:rsidRDefault="008B2896" w:rsidP="008B2896" w:rsidR="008B2896">
      <w:r>
        <w:drawing>
          <wp:inline distR="0" distL="0" distB="0" distT="0">
            <wp:extent cy="349885" cx="1288415"/>
            <wp:effectExtent b="0" r="0" t="0" l="0"/>
            <wp:docPr descr="Equation" name="Picture 248" id="13644"/>
            <wp:cNvGraphicFramePr>
              <a:graphicFrameLocks noChangeAspect="true"/>
            </wp:cNvGraphicFramePr>
            <a:graphic>
              <a:graphicData uri="http://schemas.openxmlformats.org/drawingml/2006/picture">
                <pic:pic>
                  <pic:nvPicPr>
                    <pic:cNvPr descr="Equation" name="Picture 248" id="0"/>
                    <pic:cNvPicPr>
                      <a:picLocks noChangeArrowheads="true" noChangeAspect="true"/>
                    </pic:cNvPicPr>
                  </pic:nvPicPr>
                  <pic:blipFill>
                    <a:blip r:embed="rId8"/>
                    <a:srcRect/>
                    <a:stretch>
                      <a:fillRect/>
                    </a:stretch>
                  </pic:blipFill>
                  <pic:spPr bwMode="auto">
                    <a:xfrm>
                      <a:off y="0" x="0"/>
                      <a:ext cy="349885" cx="1288415"/>
                    </a:xfrm>
                    <a:prstGeom prst="rect">
                      <a:avLst/>
                    </a:prstGeom>
                    <a:noFill/>
                    <a:ln w="9525">
                      <a:noFill/>
                      <a:miter lim="800000"/>
                      <a:headEnd/>
                      <a:tailEnd/>
                    </a:ln>
                  </pic:spPr>
                </pic:pic>
              </a:graphicData>
            </a:graphic>
          </wp:inline>
        </w:drawing>
      </w:r>
    </w:p>
    <w:p w:rsidRDefault="008B2896" w:rsidP="008B2896" w:rsidR="008B2896">
      <w:r>
        <w:t>Arguments</w:t>
      </w:r>
      <w:r>
        <w:t>:</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rate</w:t>
            </w:r>
          </w:p>
        </w:tc>
        <w:tc>
          <w:tcPr>
            <w:tcW w:type="dxa" w:w="1800"/>
          </w:tcPr>
          <w:p w:rsidRDefault="008B2896" w:rsidP="002E5918" w:rsidR="008B2896">
            <w:r>
              <w:t>number</w:t>
            </w:r>
          </w:p>
        </w:tc>
        <w:tc>
          <w:tcPr>
            <w:tcW w:type="dxa" w:w="5400"/>
          </w:tcPr>
          <w:p w:rsidRDefault="008B2896" w:rsidP="002E5918" w:rsidR="008B2896">
            <w:r>
              <w:t xml:space="preserve">The rate of discount over the length of one period. </w:t>
            </w:r>
          </w:p>
          <w:p w:rsidRDefault="008B2896" w:rsidP="002E5918" w:rsidR="008B2896"/>
        </w:tc>
      </w:tr>
      <w:tr w:rsidTr="002E5918" w:rsidR="008B2896">
        <w:tc>
          <w:tcPr>
            <w:tcW w:type="dxa" w:w="1465"/>
          </w:tcPr>
          <w:p w:rsidRDefault="008B2896" w:rsidP="002E5918" w:rsidR="008B2896">
            <w:r>
              <w:t>argument-list</w:t>
            </w:r>
          </w:p>
        </w:tc>
        <w:tc>
          <w:tcPr>
            <w:tcW w:type="dxa" w:w="1800"/>
          </w:tcPr>
          <w:p w:rsidRDefault="008B2896" w:rsidP="002E5918" w:rsidR="008B2896">
            <w:r>
              <w:t>number</w:t>
            </w:r>
          </w:p>
        </w:tc>
        <w:tc>
          <w:tcPr>
            <w:tcW w:type="dxa" w:w="5400"/>
          </w:tcPr>
          <w:p w:rsidRDefault="008B2896" w:rsidP="002E5918" w:rsidR="008B2896">
            <w:r>
              <w:t xml:space="preserve">The </w:t>
            </w:r>
            <w:r>
              <w:t>argument</w:t>
            </w:r>
            <w:r>
              <w:t xml:space="preserve">s in </w:t>
            </w:r>
            <w:r>
              <w:t>argument-list</w:t>
            </w:r>
            <w:r>
              <w:t xml:space="preserve"> designate the series of future payments (negative values) and income (positive values). </w:t>
            </w:r>
            <w:r>
              <w:t>argument</w:t>
            </w:r>
            <w:r>
              <w:t xml:space="preserve">s shall be equally spaced in time and occur at the end of each period. The order of </w:t>
            </w:r>
            <w:r>
              <w:t>argument</w:t>
            </w:r>
            <w:r>
              <w:t>s is significant.</w:t>
            </w:r>
            <w:r>
              <w:t xml:space="preserve"> argument</w:t>
            </w:r>
            <w:r>
              <w:t xml:space="preserve">s that are numbers, empty cells, logical values, or text representations of numbers are included; </w:t>
            </w:r>
            <w:r>
              <w:t>argument</w:t>
            </w:r>
            <w:r>
              <w:t xml:space="preserve">s that are error values or text that cannot be translated into numbers are ignored. If an </w:t>
            </w:r>
            <w:r>
              <w:t>argument</w:t>
            </w:r>
            <w:r>
              <w:t xml:space="preserve"> is an array or </w:t>
            </w:r>
            <w:hyperlink r:id="rId11">
              <w:r>
                <w:rPr>
                  <w:rStyle w:val="Hyperlink"/>
                </w:rPr>
                <w:t>reference</w:t>
              </w:r>
            </w:hyperlink>
            <w:r>
              <w:t xml:space="preserve">, only numbers in that array or </w:t>
            </w:r>
            <w:hyperlink r:id="rId11">
              <w:r>
                <w:rPr>
                  <w:rStyle w:val="Hyperlink"/>
                </w:rPr>
                <w:t>reference</w:t>
              </w:r>
            </w:hyperlink>
            <w:r>
              <w:t xml:space="preserve"> are included. Empty cells, logical values, text, or error values in the array or </w:t>
            </w:r>
            <w:hyperlink r:id="rId11">
              <w:r>
                <w:rPr>
                  <w:rStyle w:val="Hyperlink"/>
                </w:rPr>
                <w:t>reference</w:t>
              </w:r>
            </w:hyperlink>
            <w:r>
              <w:t xml:space="preserve"> are ignored.</w:t>
            </w:r>
          </w:p>
        </w:tc>
      </w:tr>
    </w:tbl>
    <w:p w:rsidRDefault="008B2896" w:rsidP="008B2896" w:rsidR="008B2896"/>
    <w:p w:rsidRDefault="008B2896" w:rsidP="008B2896" w:rsidR="008B2896">
      <w:r>
        <w:t>Return Type and Value</w:t>
      </w:r>
      <w:r>
        <w:t>: number – Net present value of an investment by using a discount rate and a series of future payments and income.</w:t>
      </w:r>
    </w:p>
    <w:p w:rsidRDefault="008B2896" w:rsidP="008B2896" w:rsidR="008B2896">
      <w:r>
        <w:t>[</w:t>
      </w:r>
      <w:r>
        <w:t>Example</w:t>
      </w:r>
      <w:r>
        <w:t>:</w:t>
      </w:r>
      <w:r>
        <w:br/>
      </w:r>
      <w:r>
        <w:br/>
      </w:r>
      <w:r>
        <w:t>NPV(0.1,-10000,3000,4200,6800)</w:t>
      </w:r>
      <w:r>
        <w:t xml:space="preserve"> results in </w:t>
      </w:r>
      <w:r>
        <w:t>1188.44</w:t>
      </w:r>
      <w:r>
        <w:br/>
      </w:r>
      <w:r>
        <w:br/>
      </w:r>
      <w:r>
        <w:t>end example</w:t>
      </w:r>
      <w:r>
        <w:t>]</w:t>
      </w:r>
    </w:p>
    <w:bookmarkEnd w:id="100003"/>
    <w:bookmarkEnd w:id="100004"/>
    <w:bookmarkEnd w:id="100005"/>
    <w:bookmarkEnd w:id="100006"/>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45.gif"></Relationship><Relationship Id="rId9" Type="http://schemas.openxmlformats.org/officeDocument/2006/relationships/hyperlink" Target="Syntax.docx" TargetMode="External"/><Relationship Id="rId10" Type="http://schemas.openxmlformats.org/officeDocument/2006/relationships/hyperlink" Target="n.docx" TargetMode="External"/><Relationship Id="rId11" Type="http://schemas.openxmlformats.org/officeDocument/2006/relationships/hyperlink" Target="referenc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