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5"/>
    <w:bookmarkStart w:name="1_bookmark4"/>
    <w:p w:rsidRDefault="008B2896" w:rsidP="008B2896" w:rsidR="008B2896">
      <w:pPr>
        <w:pStyle w:val="Heading4"/>
        <w:numPr>
          <w:ilvl w:val="0"/>
          <w:numId w:val="0"/>
        </w:numPr>
      </w:pPr>
      <w:bookmarkStart w:name="_Toc133915163_1" w:id="100001"/>
      <w:bookmarkStart w:name="_Toc142462262_1" w:id="100002"/>
      <w:bookmarkStart w:name="_Toc147897266_1" w:id="100003"/>
      <w:r>
        <w:t>NETWORKDAYS</w:t>
      </w:r>
      <w:bookmarkEnd w:id="100004"/>
      <w:bookmarkEnd w:id="100005"/>
      <w:bookmarkEnd w:id="100001"/>
      <w:bookmarkEnd w:id="100002"/>
      <w:bookmarkEnd w:id="100003"/>
      <w:r>
        <w:fldChar w:fldCharType="begin"/>
      </w:r>
      <w:r>
        <w:instrText xml:space="preserve"> XE "NETWORKDAYS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NETWORKDAYS</w:t>
      </w:r>
      <w:r>
        <w:t xml:space="preserve">  </w:t>
      </w:r>
      <w:r>
        <w:t>(</w:t>
      </w:r>
      <w:r>
        <w:t xml:space="preserve">  start-date  </w:t>
      </w:r>
      <w:r>
        <w:t>,</w:t>
      </w:r>
      <w:r>
        <w:t xml:space="preserve">  end-date  </w:t>
      </w:r>
      <w:r>
        <w:t>[</w:t>
      </w:r>
      <w:r>
        <w:t xml:space="preserve">  </w:t>
      </w:r>
      <w:r>
        <w:t>,</w:t>
      </w:r>
      <w:r>
        <w:t xml:space="preserve">  holidays 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Computes the number of whole working days between </w:t>
      </w:r>
      <w:r>
        <w:t>start-date</w:t>
      </w:r>
      <w:r>
        <w:t xml:space="preserve"> and </w:t>
      </w:r>
      <w:r>
        <w:t>end-date</w:t>
      </w:r>
      <w:r>
        <w:t xml:space="preserve">. Weekend days and any holidays specified by </w:t>
      </w:r>
      <w:r>
        <w:t>holidays</w:t>
      </w:r>
      <w:r>
        <w:t xml:space="preserve"> are not considered as working days.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start-date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  <w:vMerge w:val="restart"/>
          </w:tcPr>
          <w:p w:rsidRDefault="008B2896" w:rsidP="002E5918" w:rsidR="008B2896">
            <w:r>
              <w:t>The dates for which the difference is to be computed.</w:t>
            </w:r>
            <w:r>
              <w:t xml:space="preserve"> start-date</w:t>
            </w:r>
            <w:r>
              <w:t xml:space="preserve"> can be earlier than, the same as, or later than </w:t>
            </w:r>
            <w:r>
              <w:t>end-date</w:t>
            </w:r>
            <w:r>
              <w:t>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end-date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  <w:vMerge/>
          </w:tcPr>
          <w:p w:rsidRDefault="008B2896" w:rsidP="002E5918" w:rsidR="008B2896"/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holidays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>, array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An optional set of one or more dates that are to be excluded from the working day calendar. </w:t>
            </w:r>
            <w:r>
              <w:t>holidays</w:t>
            </w:r>
            <w:r>
              <w:t xml:space="preserve"> shall be a range of cells that contain the dates, or an array constant of the serial values that represent those dates. The ordering of dates or serial values in </w:t>
            </w:r>
            <w:r>
              <w:t>holidays</w:t>
            </w:r>
            <w:r>
              <w:t xml:space="preserve"> can be arbitrary.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number – The number of whole working days between </w:t>
      </w:r>
      <w:r>
        <w:t>start-date</w:t>
      </w:r>
      <w:r>
        <w:t xml:space="preserve"> and </w:t>
      </w:r>
      <w:r>
        <w:t>end-date</w:t>
      </w:r>
      <w:r>
        <w:t xml:space="preserve">, excluding the specified holidays. If </w:t>
      </w:r>
      <w:r>
        <w:t>start-date</w:t>
      </w:r>
      <w:r>
        <w:t xml:space="preserve"> is later than </w:t>
      </w:r>
      <w:r>
        <w:t>end-date</w:t>
      </w:r>
      <w:r>
        <w:t>, the return value shall be negative, and the magnitude shall be the number of whole working days.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133"/>
        </w:numPr>
      </w:pPr>
      <w:r>
        <w:t>start-date</w:t>
      </w:r>
      <w:r>
        <w:t xml:space="preserve"> is out of range for the current date base value,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end-date</w:t>
      </w:r>
      <w:r>
        <w:t xml:space="preserve"> is out of range for the current date base value,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NETWORKDAYS(DATE(2006,1,1),DATE(2006,1,31))</w:t>
      </w:r>
      <w:r>
        <w:t xml:space="preserve"> results in 23</w:t>
      </w:r>
      <w:r>
        <w:br/>
      </w:r>
      <w:r>
        <w:t>NETWORKDAYS(DATE(2006,1,31),DATE(2006,1,1))</w:t>
      </w:r>
      <w:r>
        <w:t xml:space="preserve"> results in </w:t>
      </w:r>
      <w:r>
        <w:t>-23</w:t>
      </w:r>
      <w:r>
        <w:br/>
      </w:r>
      <w:r>
        <w:t>NETWORKDAYS(DATE(2006,1,1),DATE(2006,2,1),{"2006/1/2","2006/1/16"})</w:t>
      </w:r>
      <w:r>
        <w:t xml:space="preserve"> results in </w:t>
      </w:r>
      <w:r>
        <w:t>21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referen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