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38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591_1" w:id="100001"/>
      <w:bookmarkStart w:name="_Toc133292215_1" w:id="100002"/>
      <w:bookmarkStart w:name="_Toc133915145_1" w:id="100003"/>
      <w:bookmarkStart w:name="_Toc142462244_1" w:id="100004"/>
      <w:bookmarkStart w:name="_Toc147897248_1" w:id="100005"/>
      <w:r>
        <w:t>MDURATION</w:t>
      </w:r>
      <w:bookmarkStart w:name="_Ref130654608_1" w:id="100006"/>
      <w:bookmarkStart w:name="_Toc133292216_1" w:id="100007"/>
      <w:bookmarkStart w:name="_Ref133906416_1" w:id="100008"/>
      <w:bookmarkStart w:name="_Toc133915146_1" w:id="100009"/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"MDURATION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  <w:rPr>
          <w:rStyle w:val="Terminal"/>
        </w:rPr>
      </w:pPr>
      <w:r>
        <w:t>MDURATION</w:t>
      </w:r>
      <w:r>
        <w:t xml:space="preserve">  </w:t>
      </w:r>
      <w:r>
        <w:t>(</w:t>
      </w:r>
      <w:r>
        <w:t xml:space="preserve">  settlement  </w:t>
      </w:r>
      <w:r>
        <w:t>,</w:t>
      </w:r>
      <w:r>
        <w:t xml:space="preserve">  maturity  </w:t>
      </w:r>
      <w:r>
        <w:t>,</w:t>
      </w:r>
      <w:r>
        <w:t xml:space="preserve">  coupon  </w:t>
      </w:r>
      <w:r>
        <w:t>,</w:t>
      </w:r>
      <w:r>
        <w:t xml:space="preserve">  yld  </w:t>
      </w:r>
      <w:r>
        <w:t>,</w:t>
      </w:r>
      <w:r>
        <w:t xml:space="preserve">  frequency  </w:t>
      </w:r>
      <w:r>
        <w:t>[</w:t>
      </w:r>
      <w:r>
        <w:t xml:space="preserve">  </w:t>
      </w:r>
      <w:r>
        <w:t>,</w:t>
      </w:r>
      <w:r>
        <w:t xml:space="preserve"> </w:t>
      </w:r>
      <w:r>
        <w:t>[</w:t>
      </w:r>
      <w:r>
        <w:t xml:space="preserve">  basis  </w:t>
      </w:r>
      <w:r>
        <w:t>]</w:t>
      </w:r>
      <w:r>
        <w:t xml:space="preserve"> </w:t>
      </w:r>
      <w:r>
        <w:t>]</w:t>
      </w:r>
      <w:r>
        <w:t xml:space="preserve">  </w:t>
      </w:r>
      <w:r>
        <w:t>)</w:t>
      </w:r>
    </w:p>
    <w:p w:rsidRDefault="008B2896" w:rsidP="008B2896" w:rsidR="008B2896">
      <w:r>
        <w:t>Description</w:t>
      </w:r>
      <w:r>
        <w:t>: Computes the modified Macauley duration for a security with an assumed par value of $100.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580390" cx="3093085"/>
            <wp:effectExtent b="0" r="0" t="0" l="0"/>
            <wp:docPr descr="Equation" name="Picture 242" id="1930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42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580390" cx="309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Arguments</w:t>
      </w:r>
      <w:r>
        <w:t>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settlement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settlement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maturity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maturity date.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coupon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annual coupon rate.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yld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security's annual yield.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frequency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 xml:space="preserve">the number of coupon payments per year. (For annual payments, </w:t>
            </w:r>
            <w:r>
              <w:t>frequency</w:t>
            </w:r>
            <w:r>
              <w:t xml:space="preserve"> is 1; for semiannual payments, </w:t>
            </w:r>
            <w:r>
              <w:t>frequency</w:t>
            </w:r>
            <w:r>
              <w:t xml:space="preserve"> is 2; for quarterly payments, </w:t>
            </w:r>
            <w:r>
              <w:t>frequency</w:t>
            </w:r>
            <w:r>
              <w:t xml:space="preserve"> is 4.)</w:t>
            </w:r>
            <w:r>
              <w:t xml:space="preserve"> frequency</w:t>
            </w:r>
            <w:r>
              <w:t xml:space="preserve"> is truncated to an integer.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pPr>
              <w:rPr>
                <w:rStyle w:val="Codefragment"/>
              </w:rPr>
            </w:pPr>
            <w:r>
              <w:t>basis</w:t>
            </w:r>
          </w:p>
        </w:tc>
        <w:tc>
          <w:tcPr>
            <w:tcW w:type="dxa" w:w="1800"/>
          </w:tcPr>
          <w:p w:rsidRDefault="008B2896" w:rsidP="002E5918" w:rsidR="008B2896">
            <w:r>
              <w:t>number</w:t>
            </w:r>
          </w:p>
        </w:tc>
        <w:tc>
          <w:tcPr>
            <w:tcW w:type="dxa" w:w="5400"/>
          </w:tcPr>
          <w:p w:rsidRDefault="008B2896" w:rsidP="002E5918" w:rsidR="008B2896">
            <w:r>
              <w:t>The truncated integer type of day count basis to use, as follows:</w:t>
            </w:r>
            <w:r>
              <w:br/>
            </w:r>
          </w:p>
          <w:tbl>
            <w:tblPr>
              <w:tblStyle w:val="IndentedElementTable"/>
              <w:tblW w:type="auto" w:w="0"/>
              <w:tblLook w:val="04A0" w:noVBand="1" w:noHBand="0" w:lastColumn="0" w:firstColumn="1" w:lastRow="0" w:firstRow="1"/>
            </w:tblPr>
            <w:tblGrid>
              <w:gridCol w:w="1818"/>
              <w:gridCol w:w="2340"/>
            </w:tblGrid>
            <w:tr w:rsidTr="002E5918" w:rsidR="008B2896">
              <w:trPr>
                <w:cnfStyle w:val="100000000000"/>
              </w:trPr>
              <w:tc>
                <w:tcPr>
                  <w:tcW w:type="dxa" w:w="1818"/>
                </w:tcPr>
                <w:p w:rsidRDefault="008B2896" w:rsidP="002E5918" w:rsidR="008B2896">
                  <w:r>
                    <w:t>Value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Day Count Basis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r>
                    <w:t>0</w:t>
                  </w:r>
                  <w:r>
                    <w:t xml:space="preserve"> or omitted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US (NASD) 30/360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1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Actual/actual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2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Actual/360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3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Actual/365</w:t>
                  </w:r>
                </w:p>
              </w:tc>
            </w:tr>
            <w:tr w:rsidTr="002E5918" w:rsidR="008B2896">
              <w:tc>
                <w:tcPr>
                  <w:tcW w:type="dxa" w:w="1818"/>
                </w:tcPr>
                <w:p w:rsidRDefault="008B2896" w:rsidP="002E5918" w:rsidR="008B2896">
                  <w:pPr>
                    <w:rPr>
                      <w:rStyle w:val="Codefragment"/>
                    </w:rPr>
                  </w:pPr>
                  <w:r>
                    <w:t>4</w:t>
                  </w:r>
                </w:p>
              </w:tc>
              <w:tc>
                <w:tcPr>
                  <w:tcW w:type="dxa" w:w="2340"/>
                </w:tcPr>
                <w:p w:rsidRDefault="008B2896" w:rsidP="002E5918" w:rsidR="008B2896">
                  <w:r>
                    <w:t>European 30/360</w:t>
                  </w:r>
                </w:p>
              </w:tc>
            </w:tr>
          </w:tbl>
          <w:p w:rsidRDefault="008B2896" w:rsidP="002E5918" w:rsidR="008B2896"/>
        </w:tc>
      </w:tr>
    </w:tbl>
    <w:p w:rsidRDefault="008B2896" w:rsidP="008B2896" w:rsidR="008B2896"/>
    <w:p w:rsidRDefault="008B2896" w:rsidP="008B2896" w:rsidR="008B2896">
      <w:r>
        <w:t>Time information in the date arguments is ignored.</w:t>
      </w:r>
    </w:p>
    <w:p w:rsidRDefault="008B2896" w:rsidP="008B2896" w:rsidR="008B2896">
      <w:r>
        <w:t>Return Type and Value</w:t>
      </w:r>
      <w:r>
        <w:t>: number – The modified Macauley duration for a security with an assumed par value of $100.</w:t>
      </w:r>
    </w:p>
    <w:p w:rsidRDefault="008B2896" w:rsidP="008B2896" w:rsidR="008B2896">
      <w:r>
        <w:t>However, if</w:t>
      </w:r>
    </w:p>
    <w:p w:rsidRDefault="008B2896" w:rsidP="008B2896" w:rsidR="008B2896">
      <w:pPr>
        <w:pStyle w:val="ListBullet"/>
        <w:numPr>
          <w:ilvl w:val="0"/>
          <w:numId w:val="127"/>
        </w:numPr>
      </w:pPr>
      <w:r>
        <w:t>settlement </w:t>
      </w:r>
      <w:r>
        <w:t xml:space="preserve">or </w:t>
      </w:r>
      <w:r>
        <w:t>maturity</w:t>
      </w:r>
      <w:r>
        <w:t xml:space="preserve"> is out of range for the current date base value,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settlement </w:t>
      </w:r>
      <w:r>
        <w:t>≥ </w:t>
      </w:r>
      <w:r>
        <w:t>maturity</w:t>
      </w:r>
      <w:r>
        <w:t xml:space="preserve">, </w:t>
      </w:r>
      <w:r>
        <w:t>#NUM!</w:t>
      </w:r>
      <w:r>
        <w:t xml:space="preserve"> </w:t>
      </w:r>
      <w:hyperlink r:id="rId10">
        <w:r>
          <w:rPr>
            <w:rStyle w:val="Hyperlink"/>
          </w:rPr>
          <w:t>is</w:t>
        </w:r>
      </w:hyperlink>
      <w:r>
        <w:t xml:space="preserve"> returned.</w:t>
      </w:r>
    </w:p>
    <w:p w:rsidRDefault="008B2896" w:rsidP="008B2896" w:rsidR="008B2896">
      <w:pPr>
        <w:pStyle w:val="ListBullet"/>
      </w:pPr>
      <w:r>
        <w:t>coupon </w:t>
      </w:r>
      <w:r>
        <w:t xml:space="preserve">or </w:t>
      </w:r>
      <w:r>
        <w:t>yld </w:t>
      </w:r>
      <w:r>
        <w:t xml:space="preserve">&lt; 0,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frequency</w:t>
      </w:r>
      <w:r>
        <w:t xml:space="preserve"> is any number other than 1, 2, or 4, </w:t>
      </w:r>
      <w:r>
        <w:t>#NUM!</w:t>
      </w:r>
      <w:r>
        <w:t xml:space="preserve"> is returned.</w:t>
      </w:r>
    </w:p>
    <w:p w:rsidRDefault="008B2896" w:rsidP="008B2896" w:rsidR="008B2896">
      <w:pPr>
        <w:pStyle w:val="ListBullet"/>
      </w:pPr>
      <w:r>
        <w:t>basis </w:t>
      </w:r>
      <w:r>
        <w:t xml:space="preserve">&lt; 0 or </w:t>
      </w:r>
      <w:r>
        <w:t>basis </w:t>
      </w:r>
      <w:r>
        <w:t xml:space="preserve">&gt; 4,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MDURATION(DATE(2008,1,1),DATE(2016,1,1),0.08,0.09,2,1)</w:t>
      </w:r>
      <w:r>
        <w:t xml:space="preserve"> results in</w:t>
      </w:r>
      <w:r>
        <w:t xml:space="preserve"> 5.7357</w:t>
      </w:r>
      <w:r>
        <w:br/>
      </w:r>
      <w:r>
        <w:br/>
      </w:r>
      <w:r>
        <w:t>end example</w:t>
      </w:r>
      <w:r>
        <w:t>]</w:t>
      </w:r>
    </w:p>
    <w:bookmarkEnd w:id="100006"/>
    <w:bookmarkEnd w:id="100007"/>
    <w:bookmarkEnd w:id="100008"/>
    <w:bookmarkEnd w:id="100009"/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38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i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