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055_1" w:id="100001"/>
      <w:bookmarkStart w:name="_Toc133292209_1" w:id="100002"/>
      <w:bookmarkStart w:name="_Toc133915139_1" w:id="100003"/>
      <w:bookmarkStart w:name="_Toc142462238_1" w:id="100004"/>
      <w:bookmarkStart w:name="_Toc147897242_1" w:id="100005"/>
      <w:r>
        <w:t>LOOKUP</w:t>
      </w:r>
      <w:bookmarkStart w:name="_Ref130654964_1" w:id="100006"/>
      <w:bookmarkStart w:name="_Toc133292210_1" w:id="100007"/>
      <w:bookmarkStart w:name="_Ref133906426_1" w:id="100008"/>
      <w:bookmarkStart w:name="_Toc133915140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"LOOKUP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 xml:space="preserve">vector form: </w:t>
      </w:r>
      <w:r>
        <w:t>LOOKUP</w:t>
      </w:r>
      <w:r>
        <w:t xml:space="preserve">  </w:t>
      </w:r>
      <w:r>
        <w:t>(</w:t>
      </w:r>
      <w:r>
        <w:t xml:space="preserve">  lookup-value  </w:t>
      </w:r>
      <w:r>
        <w:t>,</w:t>
      </w:r>
      <w:r>
        <w:t xml:space="preserve">  lookup-vector  </w:t>
      </w:r>
      <w:r>
        <w:t>,</w:t>
      </w:r>
      <w:r>
        <w:t xml:space="preserve">  result-vector  </w:t>
      </w:r>
      <w:r>
        <w:t>)</w:t>
      </w:r>
    </w:p>
    <w:p w:rsidRDefault="008B2896" w:rsidP="008B2896" w:rsidR="008B2896">
      <w:pPr>
        <w:pStyle w:val="Grammar"/>
      </w:pPr>
      <w:r>
        <w:t xml:space="preserve">array form: </w:t>
      </w:r>
      <w:r>
        <w:t>LOOKUP</w:t>
      </w:r>
      <w:r>
        <w:t xml:space="preserve">  </w:t>
      </w:r>
      <w:r>
        <w:t>(</w:t>
      </w:r>
      <w:r>
        <w:t xml:space="preserve">  lookup-value  </w:t>
      </w:r>
      <w:r>
        <w:t>,</w:t>
      </w:r>
      <w:r>
        <w:t xml:space="preserve">  array  </w:t>
      </w:r>
      <w:r>
        <w:t>)</w:t>
      </w:r>
    </w:p>
    <w:p w:rsidRDefault="008B2896" w:rsidP="008B2896" w:rsidR="008B2896">
      <w:r>
        <w:t>Description</w:t>
      </w:r>
      <w:r>
        <w:t xml:space="preserve">: The vector form looks in a vector for a value, and returns a value from the same position in a second vector. The array form looks in the first </w:t>
      </w:r>
      <w:hyperlink r:id="rId9">
        <w:r>
          <w:rPr>
            <w:rStyle w:val="Hyperlink"/>
          </w:rPr>
          <w:t>row</w:t>
        </w:r>
      </w:hyperlink>
      <w:r>
        <w:t xml:space="preserve"> or column of an array for the specified value and returns a value from the same position in the last </w:t>
      </w:r>
      <w:hyperlink r:id="rId9">
        <w:r>
          <w:rPr>
            <w:rStyle w:val="Hyperlink"/>
          </w:rPr>
          <w:t>row</w:t>
        </w:r>
      </w:hyperlink>
      <w:r>
        <w:t xml:space="preserve"> or column of that array.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string, logical, name,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to search for in </w:t>
            </w:r>
            <w:r>
              <w:t>lookup-vector</w:t>
            </w:r>
            <w:r>
              <w:t xml:space="preserve"> (or </w:t>
            </w:r>
            <w:r>
              <w:t>array</w:t>
            </w:r>
            <w:r>
              <w:t xml:space="preserve">). 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lookup-vector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range that contains only one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 or one column. The values in </w:t>
            </w:r>
            <w:r>
              <w:t>lookup-vector</w:t>
            </w:r>
            <w:r>
              <w:t xml:space="preserve"> can be strings, numbers, or logical values. These values shall be placed in "ascending" order, as follows: …, -2, -1, 0, 1, 2, …, A–Z, </w:t>
            </w:r>
            <w:r>
              <w:t/>
            </w:r>
            <w:hyperlink r:id="rId11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 xml:space="preserve">TRUE. </w:t>
            </w:r>
            <w:r>
              <w:t xml:space="preserve">Upper- and lowercase strings are equivalent. If </w:t>
            </w:r>
            <w:r>
              <w:t>LOOKUP</w:t>
            </w:r>
            <w:r>
              <w:t xml:space="preserve"> can't find the </w:t>
            </w:r>
            <w:r>
              <w:t>lookup-value</w:t>
            </w:r>
            <w:r>
              <w:t xml:space="preserve">, it matches the largest value in </w:t>
            </w:r>
            <w:r>
              <w:t>lookup-vector</w:t>
            </w:r>
            <w:r>
              <w:t xml:space="preserve"> (or </w:t>
            </w:r>
            <w:r>
              <w:t>array</w:t>
            </w:r>
            <w:r>
              <w:t xml:space="preserve">) that is less than or equal to </w:t>
            </w:r>
            <w:r>
              <w:t>lookup-value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result-vector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range that contains only one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 or column. It shall be the same size as </w:t>
            </w:r>
            <w:r>
              <w:t>lookup-vector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>, number, 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range of cells whose values are to be compared with </w:t>
            </w:r>
            <w:r>
              <w:t>lookup-value</w:t>
            </w:r>
            <w:r>
              <w:t xml:space="preserve">. These values shall be placed in "ascending" order, as follows: …, -2, -1, 0, 1, 2, …, A–Z, </w:t>
            </w:r>
            <w:r>
              <w:t/>
            </w:r>
            <w:hyperlink r:id="rId11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 xml:space="preserve">TRUE. </w:t>
            </w:r>
            <w:r>
              <w:t xml:space="preserve">Upper- and lowercase strings are equivalent. If </w:t>
            </w:r>
            <w:r>
              <w:t>array</w:t>
            </w:r>
            <w:r>
              <w:t xml:space="preserve"> covers an area that has more columns than rows, </w:t>
            </w:r>
            <w:r>
              <w:t>lookup-value</w:t>
            </w:r>
            <w:r>
              <w:t xml:space="preserve"> is searched for in the first row. If </w:t>
            </w:r>
            <w:r>
              <w:t>array</w:t>
            </w:r>
            <w:r>
              <w:t xml:space="preserve"> is square or has more rows than columns, </w:t>
            </w:r>
            <w:r>
              <w:t>lookup-value</w:t>
            </w:r>
            <w:r>
              <w:t xml:space="preserve"> is searched for in the first column.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The vector form looks in a vector for a value, and returns a value from the same position in a second vector. The array form looks in the first </w:t>
      </w:r>
      <w:hyperlink r:id="rId9">
        <w:r>
          <w:rPr>
            <w:rStyle w:val="Hyperlink"/>
          </w:rPr>
          <w:t>row</w:t>
        </w:r>
      </w:hyperlink>
      <w:r>
        <w:t xml:space="preserve"> or column of an array for the specified value and returns a value from the same position in the last </w:t>
      </w:r>
      <w:hyperlink r:id="rId9">
        <w:r>
          <w:rPr>
            <w:rStyle w:val="Hyperlink"/>
          </w:rPr>
          <w:t>row</w:t>
        </w:r>
      </w:hyperlink>
      <w:r>
        <w:t xml:space="preserve"> or column of that array.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4"/>
        </w:numPr>
      </w:pPr>
      <w:r>
        <w:t>lookup-value</w:t>
      </w:r>
      <w:r>
        <w:t xml:space="preserve"> is smaller than the smallest value in </w:t>
      </w:r>
      <w:r>
        <w:t xml:space="preserve">lookup-vector </w:t>
      </w:r>
      <w:r>
        <w:t xml:space="preserve">(or the first </w:t>
      </w:r>
      <w:hyperlink r:id="rId9">
        <w:r>
          <w:rPr>
            <w:rStyle w:val="Hyperlink"/>
          </w:rPr>
          <w:t>row</w:t>
        </w:r>
      </w:hyperlink>
      <w:r>
        <w:t xml:space="preserve"> or column of </w:t>
      </w:r>
      <w:r>
        <w:t>array</w:t>
      </w:r>
      <w:r>
        <w:t>), the return value is unspecified.</w:t>
      </w:r>
    </w:p>
    <w:p w:rsidRDefault="008B2896" w:rsidP="008B2896" w:rsidR="008B2896">
      <w:pPr>
        <w:pStyle w:val="ListBullet"/>
        <w:rPr>
          <w:rStyle w:val="Production"/>
        </w:rPr>
      </w:pPr>
      <w:r>
        <w:t xml:space="preserve">The size of the range specified by </w:t>
      </w:r>
      <w:r>
        <w:t>result-vector</w:t>
      </w:r>
      <w:r>
        <w:t xml:space="preserve"> is not the same as that specified by </w:t>
      </w:r>
      <w:r>
        <w:t>lookup-vector</w:t>
      </w:r>
      <w:r>
        <w:t>, the return value is unspecified.</w:t>
      </w:r>
    </w:p>
    <w:p w:rsidRDefault="008B2896" w:rsidP="008B2896" w:rsidR="008B2896">
      <w:pPr>
        <w:pStyle w:val="ListBullet"/>
      </w:pPr>
      <w:r>
        <w:t xml:space="preserve">The values in </w:t>
      </w:r>
      <w:r>
        <w:t>lookup-vector</w:t>
      </w:r>
      <w:r>
        <w:t xml:space="preserve"> (or </w:t>
      </w:r>
      <w:r>
        <w:t>array</w:t>
      </w:r>
      <w:r>
        <w:t>) are not in "ascending" order, the return value is unspecified.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468"/>
        <w:gridCol w:w="1267"/>
        <w:gridCol w:w="891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267"/>
          </w:tcPr>
          <w:p w:rsidRDefault="008B2896" w:rsidP="002E5918" w:rsidR="008B2896">
            <w:r>
              <w:t>A</w:t>
            </w:r>
          </w:p>
        </w:tc>
        <w:tc>
          <w:tcPr>
            <w:tcW w:type="dxa" w:w="891"/>
          </w:tcPr>
          <w:p w:rsidRDefault="008B2896" w:rsidP="002E5918" w:rsidR="008B2896">
            <w:r>
              <w:t>B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267"/>
          </w:tcPr>
          <w:p w:rsidRDefault="008B2896" w:rsidP="002E5918" w:rsidR="008B2896">
            <w:r>
              <w:t>Frequency</w:t>
            </w:r>
          </w:p>
        </w:tc>
        <w:tc>
          <w:tcPr>
            <w:tcW w:type="dxa" w:w="891"/>
          </w:tcPr>
          <w:p w:rsidRDefault="008B2896" w:rsidP="002E5918" w:rsidR="008B2896">
            <w:r>
              <w:t>Color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267"/>
          </w:tcPr>
          <w:p w:rsidRDefault="008B2896" w:rsidP="002E5918" w:rsidR="008B2896">
            <w:r>
              <w:t>4.14</w:t>
            </w:r>
          </w:p>
        </w:tc>
        <w:tc>
          <w:tcPr>
            <w:tcW w:type="dxa" w:w="891"/>
          </w:tcPr>
          <w:p w:rsidRDefault="008B2896" w:rsidP="002E5918" w:rsidR="008B2896">
            <w:r>
              <w:t>red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267"/>
          </w:tcPr>
          <w:p w:rsidRDefault="008B2896" w:rsidP="002E5918" w:rsidR="008B2896">
            <w:r>
              <w:t>4.19</w:t>
            </w:r>
          </w:p>
        </w:tc>
        <w:tc>
          <w:tcPr>
            <w:tcW w:type="dxa" w:w="891"/>
          </w:tcPr>
          <w:p w:rsidRDefault="008B2896" w:rsidP="002E5918" w:rsidR="008B2896">
            <w:r>
              <w:t>orange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267"/>
          </w:tcPr>
          <w:p w:rsidRDefault="008B2896" w:rsidP="002E5918" w:rsidR="008B2896">
            <w:r>
              <w:t>5.17</w:t>
            </w:r>
          </w:p>
        </w:tc>
        <w:tc>
          <w:tcPr>
            <w:tcW w:type="dxa" w:w="891"/>
          </w:tcPr>
          <w:p w:rsidRDefault="008B2896" w:rsidP="002E5918" w:rsidR="008B2896">
            <w:r>
              <w:t>yellow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267"/>
          </w:tcPr>
          <w:p w:rsidRDefault="008B2896" w:rsidP="002E5918" w:rsidR="008B2896">
            <w:r>
              <w:t>5.77</w:t>
            </w:r>
          </w:p>
        </w:tc>
        <w:tc>
          <w:tcPr>
            <w:tcW w:type="dxa" w:w="891"/>
          </w:tcPr>
          <w:p w:rsidRDefault="008B2896" w:rsidP="002E5918" w:rsidR="008B2896">
            <w:r>
              <w:t>green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1267"/>
          </w:tcPr>
          <w:p w:rsidRDefault="008B2896" w:rsidP="002E5918" w:rsidR="008B2896">
            <w:r>
              <w:t>6.39</w:t>
            </w:r>
          </w:p>
        </w:tc>
        <w:tc>
          <w:tcPr>
            <w:tcW w:type="dxa" w:w="891"/>
          </w:tcPr>
          <w:p w:rsidRDefault="008B2896" w:rsidP="002E5918" w:rsidR="008B2896">
            <w:r>
              <w:t>blue</w:t>
            </w:r>
          </w:p>
        </w:tc>
      </w:tr>
    </w:tbl>
    <w:p w:rsidRDefault="008B2896" w:rsidP="008B2896" w:rsidR="008B2896"/>
    <w:p w:rsidRDefault="008B2896" w:rsidP="008B2896" w:rsidR="008B2896">
      <w:pPr>
        <w:rPr>
          <w:rStyle w:val="Codefragment"/>
        </w:rPr>
      </w:pPr>
      <w:r>
        <w:t>LOOKUP(4.19,A2:A6,B2:B6)</w:t>
      </w:r>
      <w:r>
        <w:t xml:space="preserve"> results in </w:t>
      </w:r>
      <w:r>
        <w:t>orange</w:t>
      </w:r>
      <w:r>
        <w:br/>
      </w:r>
      <w:r>
        <w:t>LOOKUP(5,A2:A6,B2:B6)</w:t>
      </w:r>
      <w:r>
        <w:t xml:space="preserve"> results in </w:t>
      </w:r>
      <w:r>
        <w:t>orange</w:t>
      </w:r>
      <w:r>
        <w:br/>
      </w:r>
      <w:r>
        <w:t>LOOKUP(7.66,A2:A6,B2:B6)</w:t>
      </w:r>
      <w:r>
        <w:t xml:space="preserve"> results in </w:t>
      </w:r>
      <w:r>
        <w:t>blue</w:t>
      </w:r>
    </w:p>
    <w:p w:rsidRDefault="008B2896" w:rsidP="008B2896" w:rsidR="008B2896">
      <w:pPr>
        <w:rPr>
          <w:rStyle w:val="Codefragment"/>
        </w:rPr>
      </w:pPr>
    </w:p>
    <w:p w:rsidRDefault="008B2896" w:rsidP="008B2896" w:rsidR="008B2896">
      <w:r>
        <w:t>LOOKUP("C",{"a","</w:t>
      </w:r>
      <w:hyperlink r:id="rId13">
        <w:r>
          <w:rPr>
            <w:rStyle w:val="Hyperlink"/>
          </w:rPr>
          <w:t>b</w:t>
        </w:r>
      </w:hyperlink>
      <w:r>
        <w:t>","</w:t>
      </w:r>
      <w:hyperlink r:id="rId14">
        <w:r>
          <w:rPr>
            <w:rStyle w:val="Hyperlink"/>
          </w:rPr>
          <w:t>c</w:t>
        </w:r>
      </w:hyperlink>
      <w:r>
        <w:t>","</w:t>
      </w:r>
      <w:hyperlink r:id="rId15">
        <w:r>
          <w:rPr>
            <w:rStyle w:val="Hyperlink"/>
          </w:rPr>
          <w:t>d</w:t>
        </w:r>
      </w:hyperlink>
      <w:r>
        <w:t>";1,2,3,4})</w:t>
      </w:r>
      <w:r>
        <w:t xml:space="preserve"> results in </w:t>
      </w:r>
      <w:r>
        <w:t>3</w:t>
      </w:r>
      <w:r>
        <w:br/>
      </w:r>
      <w:r>
        <w:t>LOOKUP("bump",{"a",1;"</w:t>
      </w:r>
      <w:hyperlink r:id="rId13">
        <w:r>
          <w:rPr>
            <w:rStyle w:val="Hyperlink"/>
          </w:rPr>
          <w:t>b</w:t>
        </w:r>
      </w:hyperlink>
      <w:r>
        <w:t>",2;"</w:t>
      </w:r>
      <w:hyperlink r:id="rId14">
        <w:r>
          <w:rPr>
            <w:rStyle w:val="Hyperlink"/>
          </w:rPr>
          <w:t>c</w:t>
        </w:r>
      </w:hyperlink>
      <w:r>
        <w:t>",3})</w:t>
      </w:r>
      <w:r>
        <w:t xml:space="preserve"> results in </w:t>
      </w:r>
      <w:r>
        <w:t>2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ow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FALSE.docx" TargetMode="External"/><Relationship Id="rId12" Type="http://schemas.openxmlformats.org/officeDocument/2006/relationships/hyperlink" Target="text.docx" TargetMode="External"/><Relationship Id="rId13" Type="http://schemas.openxmlformats.org/officeDocument/2006/relationships/hyperlink" Target="b.docx" TargetMode="External"/><Relationship Id="rId14" Type="http://schemas.openxmlformats.org/officeDocument/2006/relationships/hyperlink" Target="c.docx" TargetMode="External"/><Relationship Id="rId15" Type="http://schemas.openxmlformats.org/officeDocument/2006/relationships/hyperlink" Target="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