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603_1" w:id="100001"/>
      <w:bookmarkStart w:name="_Toc133292206_1" w:id="100002"/>
      <w:bookmarkStart w:name="_Toc133915136_1" w:id="100003"/>
      <w:bookmarkStart w:name="_Toc142462235_1" w:id="100004"/>
      <w:bookmarkStart w:name="_Toc147897239_1" w:id="100005"/>
      <w:r>
        <w:t>LOGEST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"LOGEST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LOGEST</w:t>
      </w:r>
      <w:r>
        <w:t xml:space="preserve">  </w:t>
      </w:r>
      <w:r>
        <w:t>(</w:t>
      </w:r>
      <w:r>
        <w:t xml:space="preserve">  known-ys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known-xs  </w:t>
      </w:r>
      <w:r>
        <w:t>]</w:t>
      </w:r>
      <w:r>
        <w:t xml:space="preserve">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const-flag  </w:t>
      </w:r>
      <w:r>
        <w:t>]</w:t>
      </w:r>
      <w:r>
        <w:t xml:space="preserve"> </w:t>
      </w:r>
      <w:r>
        <w:t>[</w:t>
      </w:r>
      <w:r>
        <w:t xml:space="preserve">  </w:t>
      </w:r>
      <w:r>
        <w:t>,</w:t>
      </w:r>
      <w:r>
        <w:t xml:space="preserve">  stats-flag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Calculates an exponential curve that fits the data, and returns an array of values that describes the curve. 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>The equation for the curve is:</w:t>
      </w:r>
    </w:p>
    <w:p w:rsidRDefault="008B2896" w:rsidP="008B2896" w:rsidR="008B2896">
      <w:pPr>
        <w:pStyle w:val="TextIndented"/>
      </w:pPr>
      <w:r>
        <w:t>y = b*mx</w:t>
      </w:r>
    </w:p>
    <w:p w:rsidRDefault="008B2896" w:rsidP="008B2896" w:rsidR="008B2896">
      <w:r>
        <w:t>or</w:t>
      </w:r>
    </w:p>
    <w:p w:rsidRDefault="008B2896" w:rsidP="008B2896" w:rsidR="008B2896">
      <w:pPr>
        <w:pStyle w:val="TextIndented"/>
      </w:pPr>
      <w:r>
        <w:t>y = (b*(m1x1)*(m2x2)*…) (if there are multiple x-values)</w:t>
      </w:r>
    </w:p>
    <w:p w:rsidRDefault="008B2896" w:rsidP="008B2896" w:rsidR="008B2896">
      <w:r>
        <w:t xml:space="preserve">where the dependent y-value is a function of the independent x-values. The m-values are bases corresponding to each exponent x-value, and </w:t>
      </w:r>
      <w:hyperlink r:id="rId9">
        <w:r>
          <w:rPr>
            <w:rStyle w:val="Hyperlink"/>
          </w:rPr>
          <w:t>b</w:t>
        </w:r>
      </w:hyperlink>
      <w:r>
        <w:t xml:space="preserve"> is a constant value. Note that y, x, and </w:t>
      </w:r>
      <w:hyperlink r:id="rId10">
        <w:r>
          <w:rPr>
            <w:rStyle w:val="Hyperlink"/>
          </w:rPr>
          <w:t>m</w:t>
        </w:r>
      </w:hyperlink>
      <w:r>
        <w:t xml:space="preserve"> can be vectors.</w:t>
      </w:r>
    </w:p>
    <w:p w:rsidRDefault="008B2896" w:rsidP="008B2896" w:rsidR="008B2896">
      <w:r>
        <w:t xml:space="preserve">When there is only one independent x-variable, the y-intercept (b) values can be obtained directly by using the following formula: </w:t>
      </w:r>
    </w:p>
    <w:p w:rsidRDefault="008B2896" w:rsidP="008B2896" w:rsidR="008B2896">
      <w:r>
        <w:t xml:space="preserve">Y-intercept (b): </w:t>
      </w:r>
      <w:r>
        <w:t>INDEX(LOGEST(</w:t>
      </w:r>
      <w:r>
        <w:t>known-ys</w:t>
      </w:r>
      <w:r>
        <w:t>,</w:t>
      </w:r>
      <w:r>
        <w:t>known-xs</w:t>
      </w:r>
      <w:r>
        <w:t>),2)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known-ys</w:t>
            </w:r>
          </w:p>
        </w:tc>
        <w:tc>
          <w:tcPr>
            <w:tcW w:type="dxa" w:w="1800"/>
          </w:tcPr>
          <w:p w:rsidRDefault="008B2896" w:rsidP="002E5918" w:rsidR="008B2896">
            <w:r>
              <w:t>array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set of y-values already known in the relationship y=b*m</w:t>
            </w:r>
            <w:r>
              <w:t>x</w:t>
            </w:r>
            <w:r>
              <w:t xml:space="preserve">. If the array </w:t>
            </w:r>
            <w:r>
              <w:t>known-ys</w:t>
            </w:r>
            <w:r>
              <w:t xml:space="preserve"> is a single column, then each column of </w:t>
            </w:r>
            <w:r>
              <w:t>known-xs</w:t>
            </w:r>
            <w:r>
              <w:t xml:space="preserve"> is interpreted as a separate variable. If the array </w:t>
            </w:r>
            <w:r>
              <w:t>known-ys</w:t>
            </w:r>
            <w:r>
              <w:t xml:space="preserve"> is a single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, then each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of </w:t>
            </w:r>
            <w:r>
              <w:t>known-xs</w:t>
            </w:r>
            <w:r>
              <w:t xml:space="preserve"> is interpreted as a separate variable. </w:t>
            </w:r>
          </w:p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known-xs</w:t>
            </w:r>
          </w:p>
        </w:tc>
        <w:tc>
          <w:tcPr>
            <w:tcW w:type="dxa" w:w="1800"/>
          </w:tcPr>
          <w:p w:rsidRDefault="008B2896" w:rsidP="002E5918" w:rsidR="008B2896">
            <w:r>
              <w:t>array</w:t>
            </w:r>
          </w:p>
        </w:tc>
        <w:tc>
          <w:tcPr>
            <w:tcW w:type="dxa" w:w="5400"/>
          </w:tcPr>
          <w:p w:rsidRDefault="008B2896" w:rsidP="002E5918" w:rsidR="008B2896">
            <w:r>
              <w:t>An optional set of x-values that might already be known in the relationship y=b*m</w:t>
            </w:r>
            <w:r>
              <w:t>x</w:t>
            </w:r>
            <w:r>
              <w:t xml:space="preserve">. The array </w:t>
            </w:r>
            <w:r>
              <w:t>known-xs</w:t>
            </w:r>
            <w:r>
              <w:t xml:space="preserve"> can include one or more </w:t>
            </w:r>
            <w:hyperlink r:id="rId12">
              <w:r>
                <w:rPr>
                  <w:rStyle w:val="Hyperlink"/>
                </w:rPr>
                <w:t>sets</w:t>
              </w:r>
            </w:hyperlink>
            <w:r>
              <w:t xml:space="preserve"> of variables. If only one variable is used, </w:t>
            </w:r>
            <w:r>
              <w:t>known-ys</w:t>
            </w:r>
            <w:r>
              <w:t xml:space="preserve"> and </w:t>
            </w:r>
            <w:r>
              <w:t>known-xs</w:t>
            </w:r>
            <w:r>
              <w:t xml:space="preserve"> can be ranges of any shape, as long as they have equal dimensions. If more than one variable is used, </w:t>
            </w:r>
            <w:r>
              <w:t>known-ys</w:t>
            </w:r>
            <w:r>
              <w:t xml:space="preserve"> shall be a vector (that is, a range with a height of one </w:t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 xml:space="preserve"> or a width of one column). If </w:t>
            </w:r>
            <w:r>
              <w:t>known-xs</w:t>
            </w:r>
            <w:r>
              <w:t xml:space="preserve"> is omitted, it is assumed to be the array {1,2,3,...} that is the same size as </w:t>
            </w:r>
            <w:r>
              <w:t>known-ys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const-flag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>Specifies whether to force the constant </w:t>
            </w:r>
            <w:r>
              <w:t/>
            </w:r>
            <w:hyperlink r:id="rId9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to be 1. If </w:t>
            </w:r>
            <w:r>
              <w:t/>
            </w:r>
            <w:hyperlink r:id="rId13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or omitted, </w:t>
            </w:r>
            <w:r>
              <w:t/>
            </w:r>
            <w:hyperlink r:id="rId9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is calculated normally. If </w:t>
            </w:r>
            <w:r>
              <w:t/>
            </w:r>
            <w:hyperlink r:id="rId14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9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is set to 1, and the m-values are adjusted to fit y=</w:t>
            </w:r>
            <w:hyperlink r:id="rId10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>x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stats-flag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whether to return additional regression statistics. If </w:t>
            </w:r>
            <w:r>
              <w:t/>
            </w:r>
            <w:hyperlink r:id="rId13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</w:t>
            </w:r>
            <w:r>
              <w:t>LOGEST</w:t>
            </w:r>
            <w:r>
              <w:t xml:space="preserve"> returns the additional regression statistics, so the returned array is {mn, mn-1, ..., m1, b; sen, sen-1, ..., se1, seb; r2, sey; F, df; ssreg, ssresid}. If </w:t>
            </w:r>
            <w:r>
              <w:t/>
            </w:r>
            <w:hyperlink r:id="rId14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or omitted, </w:t>
            </w:r>
            <w:r>
              <w:t>LOGEST</w:t>
            </w:r>
            <w:r>
              <w:t xml:space="preserve"> returns only the m-coefficients and the constant b.</w:t>
            </w:r>
          </w:p>
        </w:tc>
      </w:tr>
    </w:tbl>
    <w:p w:rsidRDefault="008B2896" w:rsidP="008B2896" w:rsidR="008B2896"/>
    <w:p w:rsidRDefault="008B2896" w:rsidP="008B2896" w:rsidR="008B2896">
      <w:r>
        <w:t>The additional regression statistics are described in §</w:t>
      </w:r>
      <w:fldSimple w:instr=" REF _Ref130654602 \r \h ">
        <w:r>
          <w:t>3.17.7.193</w:t>
        </w:r>
      </w:fldSimple>
      <w:r>
        <w:t>.</w:t>
      </w:r>
    </w:p>
    <w:p w:rsidRDefault="008B2896" w:rsidP="008B2896" w:rsidR="008B2896">
      <w:r>
        <w:t xml:space="preserve">Return Type and Value: </w:t>
      </w:r>
      <w:r>
        <w:t>array – The array that describes the line, in the form {mn, mn-1, ..., m1, b}. The order in which the additional regression statistics are returned is described in §</w:t>
      </w:r>
      <w:fldSimple w:instr=" REF _Ref130654602 \r \h ">
        <w:r>
          <w:t>3.17.7.193</w:t>
        </w:r>
      </w:fldSimple>
      <w:r>
        <w:t>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ayout w:type="fixed"/>
        <w:tblLook w:val="04A0" w:noVBand="1" w:noHBand="0" w:lastColumn="0" w:firstColumn="1" w:lastRow="0" w:firstRow="1"/>
      </w:tblPr>
      <w:tblGrid>
        <w:gridCol w:w="468"/>
        <w:gridCol w:w="1717"/>
        <w:gridCol w:w="2880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1717"/>
          </w:tcPr>
          <w:p w:rsidRDefault="008B2896" w:rsidP="002E5918" w:rsidR="008B2896">
            <w:r>
              <w:t>A</w:t>
            </w:r>
          </w:p>
        </w:tc>
        <w:tc>
          <w:tcPr>
            <w:tcW w:type="dxa" w:w="2880"/>
          </w:tcPr>
          <w:p w:rsidRDefault="008B2896" w:rsidP="002E5918" w:rsidR="008B2896">
            <w:r>
              <w:t>B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1717"/>
          </w:tcPr>
          <w:p w:rsidRDefault="008B2896" w:rsidP="002E5918" w:rsidR="008B2896">
            <w:r>
              <w:t>Month</w:t>
            </w:r>
          </w:p>
        </w:tc>
        <w:tc>
          <w:tcPr>
            <w:tcW w:type="dxa" w:w="2880"/>
          </w:tcPr>
          <w:p w:rsidRDefault="008B2896" w:rsidP="002E5918" w:rsidR="008B2896">
            <w:r>
              <w:t>Units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1717"/>
          </w:tcPr>
          <w:p w:rsidRDefault="008B2896" w:rsidP="002E5918" w:rsidR="008B2896">
            <w:r>
              <w:t>11</w:t>
            </w:r>
          </w:p>
        </w:tc>
        <w:tc>
          <w:tcPr>
            <w:tcW w:type="dxa" w:w="2880"/>
          </w:tcPr>
          <w:p w:rsidRDefault="008B2896" w:rsidP="002E5918" w:rsidR="008B2896">
            <w:r>
              <w:t>33,100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1717"/>
          </w:tcPr>
          <w:p w:rsidRDefault="008B2896" w:rsidP="002E5918" w:rsidR="008B2896">
            <w:r>
              <w:t>12</w:t>
            </w:r>
          </w:p>
        </w:tc>
        <w:tc>
          <w:tcPr>
            <w:tcW w:type="dxa" w:w="2880"/>
          </w:tcPr>
          <w:p w:rsidRDefault="008B2896" w:rsidP="002E5918" w:rsidR="008B2896">
            <w:r>
              <w:t>47,300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1717"/>
          </w:tcPr>
          <w:p w:rsidRDefault="008B2896" w:rsidP="002E5918" w:rsidR="008B2896">
            <w:r>
              <w:t>13</w:t>
            </w:r>
          </w:p>
        </w:tc>
        <w:tc>
          <w:tcPr>
            <w:tcW w:type="dxa" w:w="2880"/>
          </w:tcPr>
          <w:p w:rsidRDefault="008B2896" w:rsidP="002E5918" w:rsidR="008B2896">
            <w:r>
              <w:t>69,000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5</w:t>
            </w:r>
          </w:p>
        </w:tc>
        <w:tc>
          <w:tcPr>
            <w:tcW w:type="dxa" w:w="1717"/>
          </w:tcPr>
          <w:p w:rsidRDefault="008B2896" w:rsidP="002E5918" w:rsidR="008B2896">
            <w:r>
              <w:t>14</w:t>
            </w:r>
          </w:p>
        </w:tc>
        <w:tc>
          <w:tcPr>
            <w:tcW w:type="dxa" w:w="2880"/>
          </w:tcPr>
          <w:p w:rsidRDefault="008B2896" w:rsidP="002E5918" w:rsidR="008B2896">
            <w:r>
              <w:t>102,000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6</w:t>
            </w:r>
          </w:p>
        </w:tc>
        <w:tc>
          <w:tcPr>
            <w:tcW w:type="dxa" w:w="1717"/>
          </w:tcPr>
          <w:p w:rsidRDefault="008B2896" w:rsidP="002E5918" w:rsidR="008B2896">
            <w:r>
              <w:t>15</w:t>
            </w:r>
          </w:p>
        </w:tc>
        <w:tc>
          <w:tcPr>
            <w:tcW w:type="dxa" w:w="2880"/>
          </w:tcPr>
          <w:p w:rsidRDefault="008B2896" w:rsidP="002E5918" w:rsidR="008B2896">
            <w:r>
              <w:t>150,000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7</w:t>
            </w:r>
          </w:p>
        </w:tc>
        <w:tc>
          <w:tcPr>
            <w:tcW w:type="dxa" w:w="1717"/>
          </w:tcPr>
          <w:p w:rsidRDefault="008B2896" w:rsidP="002E5918" w:rsidR="008B2896">
            <w:r>
              <w:t>16</w:t>
            </w:r>
          </w:p>
        </w:tc>
        <w:tc>
          <w:tcPr>
            <w:tcW w:type="dxa" w:w="2880"/>
          </w:tcPr>
          <w:p w:rsidRDefault="008B2896" w:rsidP="002E5918" w:rsidR="008B2896">
            <w:r>
              <w:t>220,000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8</w:t>
            </w:r>
          </w:p>
        </w:tc>
        <w:tc>
          <w:tcPr>
            <w:tcW w:type="dxa" w:w="1717"/>
          </w:tcPr>
          <w:p w:rsidRDefault="008B2896" w:rsidP="002E5918" w:rsidR="008B2896">
            <w:r>
              <w:t>Formula</w:t>
            </w:r>
          </w:p>
        </w:tc>
        <w:tc>
          <w:tcPr>
            <w:tcW w:type="dxa" w:w="2880"/>
          </w:tcPr>
          <w:p w:rsidRDefault="008B2896" w:rsidP="002E5918" w:rsidR="008B2896"/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9</w:t>
            </w:r>
          </w:p>
        </w:tc>
        <w:tc>
          <w:tcPr>
            <w:tcW w:type="dxa" w:w="1717"/>
          </w:tcPr>
          <w:p w:rsidRDefault="008B2896" w:rsidP="002E5918" w:rsidR="008B2896">
            <w:r>
              <w:t>1.463275628</w:t>
            </w:r>
          </w:p>
        </w:tc>
        <w:tc>
          <w:tcPr>
            <w:tcW w:type="dxa" w:w="2880"/>
          </w:tcPr>
          <w:p w:rsidRDefault="008B2896" w:rsidP="002E5918" w:rsidR="008B2896">
            <w:r>
              <w:t>495.3047702</w:t>
            </w:r>
          </w:p>
        </w:tc>
      </w:tr>
    </w:tbl>
    <w:p w:rsidRDefault="008B2896" w:rsidP="008B2896" w:rsidR="008B2896">
      <w:r>
        <w:br/>
      </w:r>
      <w:r>
        <w:t xml:space="preserve">When </w:t>
      </w:r>
      <w:r>
        <w:t>LOGEST(B2:B7,A2:A7,</w:t>
      </w:r>
      <w:hyperlink r:id="rId13">
        <w:r>
          <w:rPr>
            <w:rStyle w:val="Hyperlink"/>
          </w:rPr>
          <w:t>TRUE</w:t>
        </w:r>
      </w:hyperlink>
      <w:r>
        <w:t>,FALSE)</w:t>
      </w:r>
      <w:r>
        <w:t xml:space="preserve"> is array-entered into cells A9:B9, those cells take on the results shown.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b.docx" TargetMode="External"/><Relationship Id="rId10" Type="http://schemas.openxmlformats.org/officeDocument/2006/relationships/hyperlink" Target="m.docx" TargetMode="External"/><Relationship Id="rId11" Type="http://schemas.openxmlformats.org/officeDocument/2006/relationships/hyperlink" Target="row.docx" TargetMode="External"/><Relationship Id="rId12" Type="http://schemas.openxmlformats.org/officeDocument/2006/relationships/hyperlink" Target="sets.docx" TargetMode="External"/><Relationship Id="rId13" Type="http://schemas.openxmlformats.org/officeDocument/2006/relationships/hyperlink" Target="TRUE.docx" TargetMode="External"/><Relationship Id="rId14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