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33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00_1" w:id="100001"/>
      <w:bookmarkStart w:name="_Toc133292195_1" w:id="100002"/>
      <w:bookmarkStart w:name="_Toc133915125_1" w:id="100003"/>
      <w:bookmarkStart w:name="_Toc142462224_1" w:id="100004"/>
      <w:bookmarkStart w:name="_Toc147897228_1" w:id="100005"/>
      <w:r>
        <w:t>KURT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</w:instrText>
      </w:r>
      <w:smartTag w:element="PersonName" w:uri="urn:schemas-microsoft-com:office:smarttags">
        <w:smartTag w:element="GivenName" w:uri="urn:schemas:contacts">
          <w:r>
            <w:instrText>KURT</w:instrText>
          </w:r>
        </w:smartTag>
        <w:r>
          <w:instrText xml:space="preserve"> </w:instrText>
        </w:r>
        <w:smartTag w:element="Sn" w:uri="urn:schemas:contacts">
          <w:r>
            <w:instrText>SpreadsheetML</w:instrText>
          </w:r>
        </w:smartTag>
      </w:smartTag>
      <w:r>
        <w:instrText xml:space="preserve">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smartTag w:element="GivenName" w:uri="urn:schemas:contacts">
        <w:r>
          <w:rPr>
            <w:rStyle w:val="Terminal"/>
          </w:rPr>
          <w:t>KURT</w:t>
        </w:r>
      </w:smartTag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the kurtosis of a data set. Kurtosis characterizes the relative peakedness or flatness of a distribution compared with the normal distribution. Positive kurtosis indicates a relatively peaked distribution. Negative kurtosis indicates a relatively flat distribution.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Kurtosis </w:t>
      </w:r>
      <w:hyperlink r:id="rId10">
        <w:r>
          <w:rPr>
            <w:rStyle w:val="Hyperlink"/>
          </w:rPr>
          <w:t>is</w:t>
        </w:r>
      </w:hyperlink>
      <w:r>
        <w:t xml:space="preserve"> defined as: </w:t>
      </w:r>
    </w:p>
    <w:p w:rsidRDefault="008B2896" w:rsidP="008B2896" w:rsidR="008B2896">
      <w:r>
        <w:drawing>
          <wp:inline distR="0" distL="0" distB="0" distT="0">
            <wp:extent cy="890270" cx="2226310"/>
            <wp:effectExtent b="0" r="0" t="0" l="0"/>
            <wp:docPr descr="Equation" name="Picture 52" id="2161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5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90270" cx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 s is the sample standard deviation.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to an array, number, name, 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to </w:t>
            </w:r>
          </w:p>
          <w:p w:rsidRDefault="008B2896" w:rsidP="002E5918" w:rsidR="008B2896">
            <w:r>
              <w:t>number.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are the values for which kurtosis is to be calculated. Any </w:t>
            </w:r>
            <w:r>
              <w:t>argument</w:t>
            </w:r>
            <w:r>
              <w:t xml:space="preserve"> in </w:t>
            </w:r>
            <w:r>
              <w:t>argument-list</w:t>
            </w:r>
            <w:r>
              <w:t xml:space="preserve"> can be an array or a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to an array. Logical values and text representations of numbers that are directly entered into the list of arguments are included. If an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kurtosis of a data set.</w:t>
      </w:r>
    </w:p>
    <w:p w:rsidRDefault="008B2896" w:rsidP="008B2896" w:rsidR="008B2896">
      <w:r>
        <w:t xml:space="preserve">However, if </w:t>
      </w:r>
    </w:p>
    <w:p w:rsidRDefault="008B2896" w:rsidP="008B2896" w:rsidR="008B2896">
      <w:pPr>
        <w:pStyle w:val="ListBullet"/>
        <w:numPr>
          <w:ilvl w:val="0"/>
          <w:numId w:val="119"/>
        </w:numPr>
      </w:pPr>
      <w:r>
        <w:t>There are fewer than four data points, the return value is unspecified.</w:t>
      </w:r>
    </w:p>
    <w:p w:rsidRDefault="008B2896" w:rsidP="008B2896" w:rsidR="008B2896">
      <w:pPr>
        <w:pStyle w:val="ListBullet"/>
      </w:pPr>
      <w:r>
        <w:t>The standard deviation of the sample equals zero,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smartTag w:element="GivenName" w:uri="urn:schemas:contacts">
        <w:r>
          <w:rPr>
            <w:rStyle w:val="Codefragment"/>
          </w:rPr>
          <w:t>KURT</w:t>
        </w:r>
      </w:smartTag>
      <w:r>
        <w:t>(10.5,12.4,19.4,23.2)</w:t>
      </w:r>
      <w:r>
        <w:t xml:space="preserve"> results in</w:t>
      </w:r>
      <w:r>
        <w:t xml:space="preserve"> -3.644621343</w:t>
      </w:r>
      <w:r>
        <w:br/>
      </w:r>
      <w:smartTag w:element="GivenName" w:uri="urn:schemas:contacts">
        <w:r>
          <w:rPr>
            <w:rStyle w:val="Codefragment"/>
          </w:rPr>
          <w:t>KURT</w:t>
        </w:r>
      </w:smartTag>
      <w:r>
        <w:t>(10.5,{12.4,19.4},23.2)</w:t>
      </w:r>
      <w:r>
        <w:t xml:space="preserve"> results in</w:t>
      </w:r>
      <w:r>
        <w:t xml:space="preserve"> -3.644621343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33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is.docx" TargetMode="External"/><Relationship Id="rId11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