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21_1" w:id="100001"/>
      <w:bookmarkStart w:name="_Toc147897225_1" w:id="100002"/>
      <w:r>
        <w:t>ISREF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"ISREF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ISREF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is a </w:t>
      </w:r>
      <w:hyperlink r:id="rId10">
        <w:r>
          <w:rPr>
            <w:rStyle w:val="Hyperlink"/>
          </w:rPr>
          <w:t>cell</w:t>
        </w:r>
      </w:hyperlink>
      <w:r>
        <w:t xml:space="preserve"> reference.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any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No conversion shall take place on an argument passed to this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is a </w:t>
      </w:r>
      <w:hyperlink r:id="rId10">
        <w:r>
          <w:rPr>
            <w:rStyle w:val="Hyperlink"/>
          </w:rPr>
          <w:t>cell</w:t>
        </w:r>
      </w:hyperlink>
      <w:r>
        <w:t xml:space="preserve"> reference; otherwise,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ISREF("ABC")</w:t>
      </w:r>
      <w:r>
        <w:t xml:space="preserve"> results in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br/>
      </w:r>
      <w:r>
        <w:t>ISREF(A10)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