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11_1" w:id="100001"/>
      <w:bookmarkStart w:name="_Toc147897215_1" w:id="100002"/>
      <w:r>
        <w:t>ISBLANK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"ISBLANK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ISBLANK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if </w:t>
      </w:r>
      <w:r>
        <w:t>value</w:t>
      </w:r>
      <w:r>
        <w:t xml:space="preserve"> refers to an empty cell.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tested. No conversion shall take place on an argument passed to this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value</w:t>
      </w:r>
      <w:r>
        <w:t xml:space="preserve"> refers to an empty cell; otherwise,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ISBLANK(A10)</w:t>
      </w:r>
      <w:r>
        <w:t xml:space="preserve"> results in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>, when A10 is empty</w:t>
      </w:r>
      <w:r>
        <w:br/>
      </w:r>
      <w:r>
        <w:t>ISBLANK(A10)</w:t>
      </w:r>
      <w:r>
        <w:t xml:space="preserve"> results in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>, when A10 contains 123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TRUE.docx" TargetMode="External"/><Relationship Id="rId11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