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174_1" w:id="100001"/>
      <w:bookmarkStart w:name="_Toc147897179_1" w:id="100002"/>
      <w:r>
        <w:t>GROWTH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"GROWTH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GROWTH</w:t>
      </w:r>
      <w:r>
        <w:t xml:space="preserve">  </w:t>
      </w:r>
      <w:r>
        <w:t>(</w:t>
      </w:r>
      <w:r>
        <w:t xml:space="preserve">  known-ys  </w:t>
      </w:r>
      <w:r>
        <w:t>[</w:t>
      </w:r>
      <w:r>
        <w:t xml:space="preserve"> </w:t>
      </w:r>
      <w:r>
        <w:t>,</w:t>
      </w:r>
      <w:r>
        <w:t xml:space="preserve">  </w:t>
      </w:r>
      <w:r>
        <w:t>[</w:t>
      </w:r>
      <w:r>
        <w:t xml:space="preserve">  known-xs  </w:t>
      </w:r>
      <w:r>
        <w:t>]</w:t>
      </w:r>
      <w:r>
        <w:t xml:space="preserve">  </w:t>
      </w:r>
      <w:r>
        <w:t>[</w:t>
      </w:r>
      <w:r>
        <w:t xml:space="preserve">  </w:t>
      </w:r>
      <w:r>
        <w:t>,</w:t>
      </w:r>
      <w:r>
        <w:t xml:space="preserve">  </w:t>
      </w:r>
      <w:r>
        <w:t>[</w:t>
      </w:r>
      <w:r>
        <w:t xml:space="preserve">  new-xs  </w:t>
      </w:r>
      <w:r>
        <w:t>]</w:t>
      </w:r>
      <w:r>
        <w:t xml:space="preserve"> </w:t>
      </w:r>
      <w:r>
        <w:t>[</w:t>
      </w:r>
      <w:r>
        <w:t xml:space="preserve">  </w:t>
      </w:r>
      <w:r>
        <w:t>,</w:t>
      </w:r>
      <w:r>
        <w:t xml:space="preserve">  const-flag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predicted exponential growth by using existing data. </w:t>
      </w:r>
      <w:r>
        <w:t>GROWTH</w:t>
      </w:r>
      <w:r>
        <w:t xml:space="preserve"> can also fit an exponential curve to existing x-values and y-values.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known-ys</w:t>
            </w:r>
          </w:p>
        </w:tc>
        <w:tc>
          <w:tcPr>
            <w:tcW w:type="dxa" w:w="1800"/>
          </w:tcPr>
          <w:p w:rsidRDefault="008B2896" w:rsidP="002E5918" w:rsidR="008B2896">
            <w:r>
              <w:t>array</w:t>
            </w:r>
          </w:p>
        </w:tc>
        <w:tc>
          <w:tcPr>
            <w:tcW w:type="dxa" w:w="5400"/>
          </w:tcPr>
          <w:p w:rsidRDefault="008B2896" w:rsidP="002E5918" w:rsidR="008B2896">
            <w:r>
              <w:t>Set of y-values already known in the relationship y=b*m</w:t>
            </w:r>
            <w:r>
              <w:t>x</w:t>
            </w:r>
            <w:r>
              <w:t xml:space="preserve">. If the array </w:t>
            </w:r>
            <w:r>
              <w:t>known-ys</w:t>
            </w:r>
            <w:r>
              <w:t xml:space="preserve"> is a single column, then each column of </w:t>
            </w:r>
            <w:r>
              <w:t>known-xs</w:t>
            </w:r>
            <w:r>
              <w:t xml:space="preserve"> is interpreted as a separate variable. If the array </w:t>
            </w:r>
            <w:r>
              <w:t>known-ys</w:t>
            </w:r>
            <w:r>
              <w:t xml:space="preserve"> is a single </w:t>
            </w:r>
            <w:hyperlink r:id="rId9">
              <w:r>
                <w:rPr>
                  <w:rStyle w:val="Hyperlink"/>
                </w:rPr>
                <w:t>row</w:t>
              </w:r>
            </w:hyperlink>
            <w:r>
              <w:t xml:space="preserve">, then each </w:t>
            </w:r>
            <w:hyperlink r:id="rId9">
              <w:r>
                <w:rPr>
                  <w:rStyle w:val="Hyperlink"/>
                </w:rPr>
                <w:t>row</w:t>
              </w:r>
            </w:hyperlink>
            <w:r>
              <w:t xml:space="preserve"> of </w:t>
            </w:r>
            <w:r>
              <w:t>known-xs</w:t>
            </w:r>
            <w:r>
              <w:t xml:space="preserve"> is interpreted as a separate variable.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known-xs</w:t>
            </w:r>
          </w:p>
        </w:tc>
        <w:tc>
          <w:tcPr>
            <w:tcW w:type="dxa" w:w="1800"/>
          </w:tcPr>
          <w:p w:rsidRDefault="008B2896" w:rsidP="002E5918" w:rsidR="008B2896">
            <w:r>
              <w:t>array</w:t>
            </w:r>
          </w:p>
        </w:tc>
        <w:tc>
          <w:tcPr>
            <w:tcW w:type="dxa" w:w="5400"/>
          </w:tcPr>
          <w:p w:rsidRDefault="008B2896" w:rsidP="002E5918" w:rsidR="008B2896">
            <w:r>
              <w:t>Set of x-values that might already be know in the relationship y=b*m</w:t>
            </w:r>
            <w:r>
              <w:t>x</w:t>
            </w:r>
            <w:r>
              <w:t xml:space="preserve">. The array </w:t>
            </w:r>
            <w:r>
              <w:t>known-xs</w:t>
            </w:r>
            <w:r>
              <w:t xml:space="preserve"> can include one or more </w:t>
            </w:r>
            <w:hyperlink r:id="rId10">
              <w:r>
                <w:rPr>
                  <w:rStyle w:val="Hyperlink"/>
                </w:rPr>
                <w:t>sets</w:t>
              </w:r>
            </w:hyperlink>
            <w:r>
              <w:t xml:space="preserve"> of variables. If only one variable is used, </w:t>
            </w:r>
            <w:r>
              <w:t>known-ys</w:t>
            </w:r>
            <w:r>
              <w:t xml:space="preserve"> and </w:t>
            </w:r>
            <w:r>
              <w:t>known-xs</w:t>
            </w:r>
            <w:r>
              <w:t xml:space="preserve"> can be ranges of any shape, as long as they have equal dimensions. If more than one variable is used, </w:t>
            </w:r>
            <w:r>
              <w:t>known-ys</w:t>
            </w:r>
            <w:r>
              <w:t xml:space="preserve"> must be a vector (that is, a</w:t>
            </w:r>
            <w:r>
              <w:t xml:space="preserve"> known-ys</w:t>
            </w:r>
            <w:r>
              <w:t xml:space="preserve"> with a height of one </w:t>
            </w:r>
            <w:hyperlink r:id="rId9">
              <w:r>
                <w:rPr>
                  <w:rStyle w:val="Hyperlink"/>
                </w:rPr>
                <w:t>row</w:t>
              </w:r>
            </w:hyperlink>
            <w:r>
              <w:t xml:space="preserve"> or a width of one column). If </w:t>
            </w:r>
            <w:r>
              <w:t>known-xs</w:t>
            </w:r>
            <w:r>
              <w:t xml:space="preserve"> is omitted, it is assumed to be the array {1,2,3,...} that is the same size as </w:t>
            </w:r>
            <w:r>
              <w:t>known-ys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new-xs</w:t>
            </w:r>
          </w:p>
        </w:tc>
        <w:tc>
          <w:tcPr>
            <w:tcW w:type="dxa" w:w="1800"/>
          </w:tcPr>
          <w:p w:rsidRDefault="008B2896" w:rsidP="002E5918" w:rsidR="008B2896">
            <w:r>
              <w:t>array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A set of new x-values for which </w:t>
            </w:r>
            <w:r>
              <w:t>GROWTH</w:t>
            </w:r>
            <w:r>
              <w:t xml:space="preserve"> is to return corresponding y-values. </w:t>
            </w:r>
            <w:r>
              <w:t>new-xs</w:t>
            </w:r>
            <w:r>
              <w:t xml:space="preserve"> shall include a column (or row) for each independent variable, just as </w:t>
            </w:r>
            <w:r>
              <w:t>known-xs</w:t>
            </w:r>
            <w:r>
              <w:t xml:space="preserve"> does. So, if </w:t>
            </w:r>
            <w:r>
              <w:t>known-ys</w:t>
            </w:r>
            <w:r>
              <w:t xml:space="preserve"> is in a single column, </w:t>
            </w:r>
            <w:r>
              <w:t>known-xs</w:t>
            </w:r>
            <w:r>
              <w:t xml:space="preserve"> and </w:t>
            </w:r>
            <w:r>
              <w:t>new-xs</w:t>
            </w:r>
            <w:r>
              <w:t xml:space="preserve"> shall have the same number of columns. If </w:t>
            </w:r>
            <w:r>
              <w:t>known-ys</w:t>
            </w:r>
            <w:r>
              <w:t xml:space="preserve"> is in a single </w:t>
            </w:r>
            <w:hyperlink r:id="rId9">
              <w:r>
                <w:rPr>
                  <w:rStyle w:val="Hyperlink"/>
                </w:rPr>
                <w:t>row</w:t>
              </w:r>
            </w:hyperlink>
            <w:r>
              <w:t xml:space="preserve">, </w:t>
            </w:r>
            <w:r>
              <w:t>known-xs</w:t>
            </w:r>
            <w:r>
              <w:t xml:space="preserve"> and </w:t>
            </w:r>
            <w:r>
              <w:t>new-xs</w:t>
            </w:r>
            <w:r>
              <w:t xml:space="preserve"> shall have the same number of rows. If </w:t>
            </w:r>
            <w:r>
              <w:t>new-xs</w:t>
            </w:r>
            <w:r>
              <w:t xml:space="preserve"> are omitted, it is assumed to be the array {1,2,3,...} that is the same size as </w:t>
            </w:r>
            <w:r>
              <w:t>known-ys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const-flag</w:t>
            </w:r>
          </w:p>
        </w:tc>
        <w:tc>
          <w:tcPr>
            <w:tcW w:type="dxa" w:w="1800"/>
          </w:tcPr>
          <w:p w:rsidRDefault="008B2896" w:rsidP="002E5918" w:rsidR="008B2896">
            <w:r>
              <w:t>logical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Specifies whether to force the constant b to equal 1. If </w:t>
            </w:r>
            <w:r>
              <w:t/>
            </w:r>
            <w:hyperlink r:id="rId11">
              <w:r>
                <w:rPr>
                  <w:rStyle w:val="Hyperlink"/>
                </w:rPr>
                <w:t>TRUE</w:t>
              </w:r>
            </w:hyperlink>
            <w:r>
              <w:t/>
            </w:r>
            <w:r>
              <w:t xml:space="preserve"> or omitted, </w:t>
            </w:r>
            <w:r>
              <w:t/>
            </w:r>
            <w:hyperlink r:id="rId12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is calculated normally. If </w:t>
            </w:r>
            <w:r>
              <w:t/>
            </w:r>
            <w:hyperlink r:id="rId13">
              <w:r>
                <w:rPr>
                  <w:rStyle w:val="Hyperlink"/>
                </w:rPr>
                <w:t>FALSE</w:t>
              </w:r>
            </w:hyperlink>
            <w:r>
              <w:t/>
            </w:r>
            <w:r>
              <w:t xml:space="preserve">, </w:t>
            </w:r>
            <w:r>
              <w:t/>
            </w:r>
            <w:hyperlink r:id="rId12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is set equal to 1 and the m-values are adjusted so that y= </w:t>
            </w:r>
            <w:hyperlink r:id="rId14">
              <w:r>
                <w:rPr>
                  <w:rStyle w:val="Hyperlink"/>
                </w:rPr>
                <w:t>m</w:t>
              </w:r>
            </w:hyperlink>
            <w:r>
              <w:t/>
            </w:r>
            <w:r>
              <w:t>x</w:t>
            </w:r>
            <w:r>
              <w:t>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array – The y-values for a series of new x-values.</w:t>
      </w:r>
    </w:p>
    <w:p w:rsidRDefault="008B2896" w:rsidP="008B2896" w:rsidR="008B2896">
      <w:r>
        <w:t xml:space="preserve">However, if any of the numbers in </w:t>
      </w:r>
      <w:r>
        <w:t>known-ys</w:t>
      </w:r>
      <w:r>
        <w:t xml:space="preserve"> are zero or negative,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 Given the following data:</w:t>
      </w:r>
    </w:p>
    <w:tbl>
      <w:tblPr>
        <w:tblStyle w:val="IndentedElementTable"/>
        <w:tblW w:type="auto" w:w="0"/>
        <w:tblLayout w:type="fixed"/>
        <w:tblLook w:val="04A0" w:noVBand="1" w:noHBand="0" w:lastColumn="0" w:firstColumn="1" w:lastRow="0" w:firstRow="1"/>
      </w:tblPr>
      <w:tblGrid>
        <w:gridCol w:w="468"/>
        <w:gridCol w:w="1717"/>
        <w:gridCol w:w="2880"/>
        <w:gridCol w:w="3150"/>
      </w:tblGrid>
      <w:tr w:rsidTr="002E5918" w:rsidR="008B2896">
        <w:trPr>
          <w:cnfStyle w:val="100000000000"/>
        </w:trPr>
        <w:tc>
          <w:tcPr>
            <w:tcW w:type="dxa" w:w="468"/>
          </w:tcPr>
          <w:p w:rsidRDefault="008B2896" w:rsidP="002E5918" w:rsidR="008B2896"/>
        </w:tc>
        <w:tc>
          <w:tcPr>
            <w:tcW w:type="dxa" w:w="1717"/>
          </w:tcPr>
          <w:p w:rsidRDefault="008B2896" w:rsidP="002E5918" w:rsidR="008B2896">
            <w:r>
              <w:t>A</w:t>
            </w:r>
          </w:p>
        </w:tc>
        <w:tc>
          <w:tcPr>
            <w:tcW w:type="dxa" w:w="2880"/>
          </w:tcPr>
          <w:p w:rsidRDefault="008B2896" w:rsidP="002E5918" w:rsidR="008B2896">
            <w:r>
              <w:t>B</w:t>
            </w:r>
          </w:p>
        </w:tc>
        <w:tc>
          <w:tcPr>
            <w:tcW w:type="dxa" w:w="3150"/>
          </w:tcPr>
          <w:p w:rsidRDefault="008B2896" w:rsidP="002E5918" w:rsidR="008B2896">
            <w:r>
              <w:t>C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</w:t>
            </w:r>
          </w:p>
        </w:tc>
        <w:tc>
          <w:tcPr>
            <w:tcW w:type="dxa" w:w="1717"/>
          </w:tcPr>
          <w:p w:rsidRDefault="008B2896" w:rsidP="002E5918" w:rsidR="008B2896">
            <w:r>
              <w:t>Month</w:t>
            </w:r>
          </w:p>
        </w:tc>
        <w:tc>
          <w:tcPr>
            <w:tcW w:type="dxa" w:w="2880"/>
          </w:tcPr>
          <w:p w:rsidRDefault="008B2896" w:rsidP="002E5918" w:rsidR="008B2896">
            <w:r>
              <w:t>Units</w:t>
            </w:r>
          </w:p>
        </w:tc>
        <w:tc>
          <w:tcPr>
            <w:tcW w:type="dxa" w:w="3150"/>
          </w:tcPr>
          <w:p w:rsidRDefault="008B2896" w:rsidP="002E5918" w:rsidR="008B2896">
            <w:r>
              <w:t>Formula (corresponding units)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2</w:t>
            </w:r>
          </w:p>
        </w:tc>
        <w:tc>
          <w:tcPr>
            <w:tcW w:type="dxa" w:w="1717"/>
          </w:tcPr>
          <w:p w:rsidRDefault="008B2896" w:rsidP="002E5918" w:rsidR="008B2896">
            <w:r>
              <w:t>11</w:t>
            </w:r>
          </w:p>
        </w:tc>
        <w:tc>
          <w:tcPr>
            <w:tcW w:type="dxa" w:w="2880"/>
          </w:tcPr>
          <w:p w:rsidRDefault="008B2896" w:rsidP="002E5918" w:rsidR="008B2896">
            <w:r>
              <w:t>33,100</w:t>
            </w:r>
          </w:p>
        </w:tc>
        <w:tc>
          <w:tcPr>
            <w:tcW w:type="dxa" w:w="3150"/>
          </w:tcPr>
          <w:p w:rsidRDefault="008B2896" w:rsidP="002E5918" w:rsidR="008B2896">
            <w:r>
              <w:t>32618.20377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3</w:t>
            </w:r>
          </w:p>
        </w:tc>
        <w:tc>
          <w:tcPr>
            <w:tcW w:type="dxa" w:w="1717"/>
          </w:tcPr>
          <w:p w:rsidRDefault="008B2896" w:rsidP="002E5918" w:rsidR="008B2896">
            <w:r>
              <w:t>12</w:t>
            </w:r>
          </w:p>
        </w:tc>
        <w:tc>
          <w:tcPr>
            <w:tcW w:type="dxa" w:w="2880"/>
          </w:tcPr>
          <w:p w:rsidRDefault="008B2896" w:rsidP="002E5918" w:rsidR="008B2896">
            <w:r>
              <w:t>47,300</w:t>
            </w:r>
          </w:p>
        </w:tc>
        <w:tc>
          <w:tcPr>
            <w:tcW w:type="dxa" w:w="3150"/>
          </w:tcPr>
          <w:p w:rsidRDefault="008B2896" w:rsidP="002E5918" w:rsidR="008B2896">
            <w:r>
              <w:t>47729.42261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4</w:t>
            </w:r>
          </w:p>
        </w:tc>
        <w:tc>
          <w:tcPr>
            <w:tcW w:type="dxa" w:w="1717"/>
          </w:tcPr>
          <w:p w:rsidRDefault="008B2896" w:rsidP="002E5918" w:rsidR="008B2896">
            <w:r>
              <w:t>13</w:t>
            </w:r>
          </w:p>
        </w:tc>
        <w:tc>
          <w:tcPr>
            <w:tcW w:type="dxa" w:w="2880"/>
          </w:tcPr>
          <w:p w:rsidRDefault="008B2896" w:rsidP="002E5918" w:rsidR="008B2896">
            <w:r>
              <w:t>69,000</w:t>
            </w:r>
          </w:p>
        </w:tc>
        <w:tc>
          <w:tcPr>
            <w:tcW w:type="dxa" w:w="3150"/>
          </w:tcPr>
          <w:p w:rsidRDefault="008B2896" w:rsidP="002E5918" w:rsidR="008B2896">
            <w:r>
              <w:t>69841.30086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5</w:t>
            </w:r>
          </w:p>
        </w:tc>
        <w:tc>
          <w:tcPr>
            <w:tcW w:type="dxa" w:w="1717"/>
          </w:tcPr>
          <w:p w:rsidRDefault="008B2896" w:rsidP="002E5918" w:rsidR="008B2896">
            <w:r>
              <w:t>14</w:t>
            </w:r>
          </w:p>
        </w:tc>
        <w:tc>
          <w:tcPr>
            <w:tcW w:type="dxa" w:w="2880"/>
          </w:tcPr>
          <w:p w:rsidRDefault="008B2896" w:rsidP="002E5918" w:rsidR="008B2896">
            <w:r>
              <w:t>102,000</w:t>
            </w:r>
          </w:p>
        </w:tc>
        <w:tc>
          <w:tcPr>
            <w:tcW w:type="dxa" w:w="3150"/>
          </w:tcPr>
          <w:p w:rsidRDefault="008B2896" w:rsidP="002E5918" w:rsidR="008B2896">
            <w:r>
              <w:t>102197.0734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6</w:t>
            </w:r>
          </w:p>
        </w:tc>
        <w:tc>
          <w:tcPr>
            <w:tcW w:type="dxa" w:w="1717"/>
          </w:tcPr>
          <w:p w:rsidRDefault="008B2896" w:rsidP="002E5918" w:rsidR="008B2896">
            <w:r>
              <w:t>15</w:t>
            </w:r>
          </w:p>
        </w:tc>
        <w:tc>
          <w:tcPr>
            <w:tcW w:type="dxa" w:w="2880"/>
          </w:tcPr>
          <w:p w:rsidRDefault="008B2896" w:rsidP="002E5918" w:rsidR="008B2896">
            <w:r>
              <w:t>150,000</w:t>
            </w:r>
          </w:p>
        </w:tc>
        <w:tc>
          <w:tcPr>
            <w:tcW w:type="dxa" w:w="3150"/>
          </w:tcPr>
          <w:p w:rsidRDefault="008B2896" w:rsidP="002E5918" w:rsidR="008B2896">
            <w:r>
              <w:t>149542.4867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7</w:t>
            </w:r>
          </w:p>
        </w:tc>
        <w:tc>
          <w:tcPr>
            <w:tcW w:type="dxa" w:w="1717"/>
          </w:tcPr>
          <w:p w:rsidRDefault="008B2896" w:rsidP="002E5918" w:rsidR="008B2896">
            <w:r>
              <w:t>16</w:t>
            </w:r>
          </w:p>
        </w:tc>
        <w:tc>
          <w:tcPr>
            <w:tcW w:type="dxa" w:w="2880"/>
          </w:tcPr>
          <w:p w:rsidRDefault="008B2896" w:rsidP="002E5918" w:rsidR="008B2896">
            <w:r>
              <w:t>220,000</w:t>
            </w:r>
          </w:p>
        </w:tc>
        <w:tc>
          <w:tcPr>
            <w:tcW w:type="dxa" w:w="3150"/>
          </w:tcPr>
          <w:p w:rsidRDefault="008B2896" w:rsidP="002E5918" w:rsidR="008B2896">
            <w:r>
              <w:t>218821.8762</w:t>
            </w:r>
          </w:p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8</w:t>
            </w:r>
          </w:p>
        </w:tc>
        <w:tc>
          <w:tcPr>
            <w:tcW w:type="dxa" w:w="1717"/>
          </w:tcPr>
          <w:p w:rsidRDefault="008B2896" w:rsidP="002E5918" w:rsidR="008B2896">
            <w:r>
              <w:t>Month</w:t>
            </w:r>
          </w:p>
        </w:tc>
        <w:tc>
          <w:tcPr>
            <w:tcW w:type="dxa" w:w="2880"/>
          </w:tcPr>
          <w:p w:rsidRDefault="008B2896" w:rsidP="002E5918" w:rsidR="008B2896">
            <w:r>
              <w:t>Formula (Predicted Units)</w:t>
            </w:r>
          </w:p>
        </w:tc>
        <w:tc>
          <w:tcPr>
            <w:tcW w:type="dxa" w:w="3150"/>
          </w:tcPr>
          <w:p w:rsidRDefault="008B2896" w:rsidP="002E5918" w:rsidR="008B2896"/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9</w:t>
            </w:r>
          </w:p>
        </w:tc>
        <w:tc>
          <w:tcPr>
            <w:tcW w:type="dxa" w:w="1717"/>
          </w:tcPr>
          <w:p w:rsidRDefault="008B2896" w:rsidP="002E5918" w:rsidR="008B2896">
            <w:r>
              <w:t>17</w:t>
            </w:r>
          </w:p>
        </w:tc>
        <w:tc>
          <w:tcPr>
            <w:tcW w:type="dxa" w:w="2880"/>
          </w:tcPr>
          <w:p w:rsidRDefault="008B2896" w:rsidP="002E5918" w:rsidR="008B2896">
            <w:r>
              <w:t>320,196.72</w:t>
            </w:r>
          </w:p>
        </w:tc>
        <w:tc>
          <w:tcPr>
            <w:tcW w:type="dxa" w:w="3150"/>
          </w:tcPr>
          <w:p w:rsidRDefault="008B2896" w:rsidP="002E5918" w:rsidR="008B2896"/>
        </w:tc>
      </w:tr>
      <w:tr w:rsidTr="002E5918" w:rsidR="008B2896">
        <w:tc>
          <w:tcPr>
            <w:tcW w:type="dxa" w:w="468"/>
          </w:tcPr>
          <w:p w:rsidRDefault="008B2896" w:rsidP="002E5918" w:rsidR="008B2896">
            <w:r>
              <w:t>10</w:t>
            </w:r>
          </w:p>
        </w:tc>
        <w:tc>
          <w:tcPr>
            <w:tcW w:type="dxa" w:w="1717"/>
          </w:tcPr>
          <w:p w:rsidRDefault="008B2896" w:rsidP="002E5918" w:rsidR="008B2896">
            <w:r>
              <w:t>18</w:t>
            </w:r>
          </w:p>
        </w:tc>
        <w:tc>
          <w:tcPr>
            <w:tcW w:type="dxa" w:w="2880"/>
          </w:tcPr>
          <w:p w:rsidRDefault="008B2896" w:rsidP="002E5918" w:rsidR="008B2896">
            <w:r>
              <w:t>468,536.05</w:t>
            </w:r>
          </w:p>
        </w:tc>
        <w:tc>
          <w:tcPr>
            <w:tcW w:type="dxa" w:w="3150"/>
          </w:tcPr>
          <w:p w:rsidRDefault="008B2896" w:rsidP="002E5918" w:rsidR="008B2896"/>
        </w:tc>
      </w:tr>
    </w:tbl>
    <w:p w:rsidRDefault="008B2896" w:rsidP="008B2896" w:rsidR="008B2896">
      <w:r>
        <w:br/>
      </w:r>
      <w:r>
        <w:t xml:space="preserve">When </w:t>
      </w:r>
      <w:r>
        <w:t>GROWTH(A2:B4,A6:B8)</w:t>
      </w:r>
      <w:r>
        <w:t xml:space="preserve"> is array-entered into cells C2:C7, those cells take on the results shown.</w:t>
      </w:r>
      <w:r>
        <w:br/>
      </w:r>
      <w:r>
        <w:t xml:space="preserve">When </w:t>
      </w:r>
      <w:r>
        <w:t>GROWTH(A2:B4,A6:B8,A9:A10)</w:t>
      </w:r>
      <w:r>
        <w:t xml:space="preserve"> is array-entered into cells B9:B10, those cells take on the results shown.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ow.docx" TargetMode="External"/><Relationship Id="rId10" Type="http://schemas.openxmlformats.org/officeDocument/2006/relationships/hyperlink" Target="sets.docx" TargetMode="External"/><Relationship Id="rId11" Type="http://schemas.openxmlformats.org/officeDocument/2006/relationships/hyperlink" Target="TRUE.docx" TargetMode="External"/><Relationship Id="rId12" Type="http://schemas.openxmlformats.org/officeDocument/2006/relationships/hyperlink" Target="b.docx" TargetMode="External"/><Relationship Id="rId13" Type="http://schemas.openxmlformats.org/officeDocument/2006/relationships/hyperlink" Target="FALSE.docx" TargetMode="External"/><Relationship Id="rId14" Type="http://schemas.openxmlformats.org/officeDocument/2006/relationships/hyperlink" Target="m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