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99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587_1" w:id="100001"/>
      <w:bookmarkStart w:name="_Toc133292129_1" w:id="100002"/>
      <w:bookmarkStart w:name="_Toc133915059_1" w:id="100003"/>
      <w:bookmarkStart w:name="_Toc142462158_1" w:id="100004"/>
      <w:bookmarkStart w:name="_Toc147897163_1" w:id="100005"/>
      <w:r>
        <w:t>FISHER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"FISHER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FISHER</w:t>
      </w:r>
      <w:r>
        <w:t xml:space="preserve">  </w:t>
      </w:r>
      <w:r>
        <w:t>(</w:t>
      </w:r>
      <w:r>
        <w:t xml:space="preserve">  </w:t>
      </w:r>
      <w:hyperlink r:id="rId10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Fisher transformation at </w:t>
      </w:r>
      <w:r>
        <w:t>x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65760" cx="890270"/>
            <wp:effectExtent b="0" r="0" t="0" l="0"/>
            <wp:docPr descr="Equation" name="Picture 24" id="9784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65760" cx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for which the transformation is wanted.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Fisher transformation at </w:t>
      </w:r>
      <w:r>
        <w:t>x</w:t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04"/>
        </w:numPr>
      </w:pPr>
      <w:r>
        <w:t/>
      </w:r>
      <w:hyperlink r:id="rId10">
        <w:r>
          <w:rPr>
            <w:rStyle w:val="Hyperlink"/>
          </w:rPr>
          <w:t>x</w:t>
        </w:r>
      </w:hyperlink>
      <w:r>
        <w:t/>
      </w:r>
      <w:r>
        <w:t xml:space="preserve"> ≤ -1, </w:t>
      </w:r>
      <w:r>
        <w:t>#NUM!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/>
      </w:r>
      <w:hyperlink r:id="rId10">
        <w:r>
          <w:rPr>
            <w:rStyle w:val="Hyperlink"/>
          </w:rPr>
          <w:t>x</w:t>
        </w:r>
      </w:hyperlink>
      <w:r>
        <w:t/>
      </w:r>
      <w:r>
        <w:t xml:space="preserve"> ≥ 1, </w:t>
      </w:r>
      <w:r>
        <w:t>#NUM!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FISHER(-0.43)</w:t>
      </w:r>
      <w:r>
        <w:t xml:space="preserve"> results in</w:t>
      </w:r>
      <w:r>
        <w:t xml:space="preserve"> -0.459896681</w:t>
      </w:r>
      <w:r>
        <w:br/>
      </w:r>
      <w:r>
        <w:t>FISHER(0.578)</w:t>
      </w:r>
      <w:r>
        <w:t xml:space="preserve"> results in</w:t>
      </w:r>
      <w:r>
        <w:t xml:space="preserve"> 0.659454094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99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x.docx" TargetMode="External"/><Relationship Id="rId11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