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290.gif" ContentType="image/gi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bookmarkStart w:name="1_bookmark10"/>
    <w:bookmarkStart w:name="1_bookmark9"/>
    <w:bookmarkStart w:name="1_bookmark8"/>
    <w:bookmarkStart w:name="1_bookmark7"/>
    <w:p w:rsidRDefault="008B2896" w:rsidP="008B2896" w:rsidR="008B2896">
      <w:pPr>
        <w:pStyle w:val="Heading4"/>
        <w:numPr>
          <w:ilvl w:val="0"/>
          <w:numId w:val="0"/>
        </w:numPr>
      </w:pPr>
      <w:bookmarkStart w:name="_Toc142462127_1" w:id="100001"/>
      <w:bookmarkStart w:name="_Toc147897133_1" w:id="100002"/>
      <w:r>
        <w:t>DISC</w:t>
      </w:r>
      <w:bookmarkStart w:name="_Ref130650280_1" w:id="100003"/>
      <w:bookmarkStart w:name="_Toc133292099_1" w:id="100004"/>
      <w:bookmarkStart w:name="_Ref133904753_1" w:id="100005"/>
      <w:bookmarkStart w:name="_Toc133915029_1" w:id="100006"/>
      <w:bookmarkEnd w:id="100007"/>
      <w:bookmarkEnd w:id="100008"/>
      <w:bookmarkEnd w:id="100009"/>
      <w:bookmarkEnd w:id="100010"/>
      <w:bookmarkEnd w:id="100001"/>
      <w:bookmarkEnd w:id="100002"/>
      <w:r>
        <w:fldChar w:fldCharType="begin"/>
      </w:r>
      <w:r>
        <w:instrText xml:space="preserve"> XE "DISC SpreadsheetML function" \b </w:instrText>
      </w:r>
      <w:r>
        <w:fldChar w:fldCharType="end"/>
      </w:r>
    </w:p>
    <w:p w:rsidRDefault="008B2896" w:rsidP="008B2896" w:rsidR="008B2896">
      <w:pPr>
        <w:rPr>
          <w:rStyle w:val="Emphasisstrong"/>
        </w:rPr>
      </w:pPr>
      <w:r>
        <w:t>Syntax:</w:t>
      </w:r>
    </w:p>
    <w:p w:rsidRDefault="008B2896" w:rsidP="008B2896" w:rsidR="008B2896">
      <w:pPr>
        <w:pStyle w:val="Grammar"/>
        <w:rPr>
          <w:rStyle w:val="Terminal"/>
        </w:rPr>
      </w:pPr>
      <w:r>
        <w:t>DISC</w:t>
      </w:r>
      <w:r>
        <w:t xml:space="preserve">  </w:t>
      </w:r>
      <w:r>
        <w:t>(</w:t>
      </w:r>
      <w:r>
        <w:t xml:space="preserve">  settlement  </w:t>
      </w:r>
      <w:r>
        <w:t>,</w:t>
      </w:r>
      <w:r>
        <w:t xml:space="preserve">  maturity  </w:t>
      </w:r>
      <w:r>
        <w:t>,</w:t>
      </w:r>
      <w:r>
        <w:t xml:space="preserve">  pr  </w:t>
      </w:r>
      <w:r>
        <w:t>,</w:t>
      </w:r>
      <w:r>
        <w:t xml:space="preserve">  redemption  </w:t>
      </w:r>
      <w:r>
        <w:t>[</w:t>
      </w:r>
      <w:r>
        <w:t xml:space="preserve">  </w:t>
      </w:r>
      <w:r>
        <w:t>,</w:t>
      </w:r>
      <w:r>
        <w:t xml:space="preserve"> </w:t>
      </w:r>
      <w:r>
        <w:t>[</w:t>
      </w:r>
      <w:r>
        <w:t xml:space="preserve">  basis  </w:t>
      </w:r>
      <w:r>
        <w:t>]</w:t>
      </w:r>
      <w:r>
        <w:t xml:space="preserve"> </w:t>
      </w:r>
      <w:r>
        <w:t>]</w:t>
      </w:r>
      <w:r>
        <w:t xml:space="preserve">  </w:t>
      </w:r>
      <w:r>
        <w:t>)</w:t>
      </w:r>
    </w:p>
    <w:p w:rsidRDefault="008B2896" w:rsidP="008B2896" w:rsidR="008B2896">
      <w:r>
        <w:t>Description:</w:t>
      </w:r>
      <w:r>
        <w:t xml:space="preserve"> Computes the discount rate for a security.</w:t>
      </w:r>
    </w:p>
    <w:p w:rsidRDefault="008B2896" w:rsidP="008B2896" w:rsidR="008B2896">
      <w:r>
        <w:t>Mathematical Formula</w:t>
      </w:r>
      <w:r>
        <w:t>:</w:t>
      </w:r>
    </w:p>
    <w:p w:rsidRDefault="008B2896" w:rsidP="008B2896" w:rsidR="008B2896">
      <w:r>
        <w:drawing>
          <wp:inline distR="0" distL="0" distB="0" distT="0">
            <wp:extent cy="334010" cx="2027555"/>
            <wp:effectExtent b="0" r="0" t="0" l="0"/>
            <wp:docPr descr="Equation" name="Picture 236" id="69071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descr="Equation" name="Picture 236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334010" cx="202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Default="008B2896" w:rsidP="008B2896" w:rsidR="008B2896">
      <w:r>
        <w:t>where:</w:t>
      </w:r>
    </w:p>
    <w:p w:rsidRDefault="008B2896" w:rsidP="008B2896" w:rsidR="008B2896">
      <w:r>
        <w:t>B = number of days in a year, depending on the year basis.</w:t>
      </w:r>
      <w:r>
        <w:br/>
      </w:r>
      <w:r>
        <w:t>DSM = number of days between settlement and maturity.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pPr>
              <w:rPr>
                <w:rStyle w:val="Codefragment"/>
              </w:rPr>
            </w:pPr>
            <w:r>
              <w:t>settlement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security's settlement date.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pPr>
              <w:rPr>
                <w:rStyle w:val="Codefragment"/>
              </w:rPr>
            </w:pPr>
            <w:r>
              <w:t>maturity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security's maturity date.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pPr>
              <w:rPr>
                <w:rStyle w:val="Codefragment"/>
              </w:rPr>
            </w:pPr>
            <w:r>
              <w:t>pr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security's price per $100 face value.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pPr>
              <w:rPr>
                <w:rStyle w:val="Codefragment"/>
              </w:rPr>
            </w:pPr>
            <w:r>
              <w:t>redemption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security's redemption value per $100 face value.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pPr>
              <w:rPr>
                <w:rStyle w:val="Codefragment"/>
              </w:rPr>
            </w:pPr>
            <w:r>
              <w:t>basis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truncated integer type of day count basis to use, as follows:</w:t>
            </w:r>
            <w:r>
              <w:br/>
            </w:r>
          </w:p>
          <w:tbl>
            <w:tblPr>
              <w:tblStyle w:val="IndentedElementTable"/>
              <w:tblW w:type="auto" w:w="0"/>
              <w:tblLook w:val="04A0" w:noVBand="1" w:noHBand="0" w:lastColumn="0" w:firstColumn="1" w:lastRow="0" w:firstRow="1"/>
            </w:tblPr>
            <w:tblGrid>
              <w:gridCol w:w="1818"/>
              <w:gridCol w:w="2340"/>
            </w:tblGrid>
            <w:tr w:rsidTr="002E5918" w:rsidR="008B2896">
              <w:trPr>
                <w:cnfStyle w:val="100000000000"/>
              </w:trPr>
              <w:tc>
                <w:tcPr>
                  <w:tcW w:type="dxa" w:w="1818"/>
                </w:tcPr>
                <w:p w:rsidRDefault="008B2896" w:rsidP="002E5918" w:rsidR="008B2896">
                  <w:r>
                    <w:t>Value</w:t>
                  </w:r>
                </w:p>
              </w:tc>
              <w:tc>
                <w:tcPr>
                  <w:tcW w:type="dxa" w:w="2340"/>
                </w:tcPr>
                <w:p w:rsidRDefault="008B2896" w:rsidP="002E5918" w:rsidR="008B2896">
                  <w:r>
                    <w:t>Day Count Basis</w:t>
                  </w:r>
                </w:p>
              </w:tc>
            </w:tr>
            <w:tr w:rsidTr="002E5918" w:rsidR="008B2896">
              <w:tc>
                <w:tcPr>
                  <w:tcW w:type="dxa" w:w="1818"/>
                </w:tcPr>
                <w:p w:rsidRDefault="008B2896" w:rsidP="002E5918" w:rsidR="008B2896">
                  <w:r>
                    <w:t>0</w:t>
                  </w:r>
                  <w:r>
                    <w:t xml:space="preserve"> or omitted</w:t>
                  </w:r>
                </w:p>
              </w:tc>
              <w:tc>
                <w:tcPr>
                  <w:tcW w:type="dxa" w:w="2340"/>
                </w:tcPr>
                <w:p w:rsidRDefault="008B2896" w:rsidP="002E5918" w:rsidR="008B2896">
                  <w:r>
                    <w:t>US (NASD) 30/360</w:t>
                  </w:r>
                </w:p>
              </w:tc>
            </w:tr>
            <w:tr w:rsidTr="002E5918" w:rsidR="008B2896">
              <w:tc>
                <w:tcPr>
                  <w:tcW w:type="dxa" w:w="1818"/>
                </w:tcPr>
                <w:p w:rsidRDefault="008B2896" w:rsidP="002E5918" w:rsidR="008B2896">
                  <w:pPr>
                    <w:rPr>
                      <w:rStyle w:val="Codefragment"/>
                    </w:rPr>
                  </w:pPr>
                  <w:r>
                    <w:t>1</w:t>
                  </w:r>
                </w:p>
              </w:tc>
              <w:tc>
                <w:tcPr>
                  <w:tcW w:type="dxa" w:w="2340"/>
                </w:tcPr>
                <w:p w:rsidRDefault="008B2896" w:rsidP="002E5918" w:rsidR="008B2896">
                  <w:r>
                    <w:t>Actual/actual</w:t>
                  </w:r>
                </w:p>
              </w:tc>
            </w:tr>
            <w:tr w:rsidTr="002E5918" w:rsidR="008B2896">
              <w:tc>
                <w:tcPr>
                  <w:tcW w:type="dxa" w:w="1818"/>
                </w:tcPr>
                <w:p w:rsidRDefault="008B2896" w:rsidP="002E5918" w:rsidR="008B2896">
                  <w:pPr>
                    <w:rPr>
                      <w:rStyle w:val="Codefragment"/>
                    </w:rPr>
                  </w:pPr>
                  <w:r>
                    <w:t>2</w:t>
                  </w:r>
                </w:p>
              </w:tc>
              <w:tc>
                <w:tcPr>
                  <w:tcW w:type="dxa" w:w="2340"/>
                </w:tcPr>
                <w:p w:rsidRDefault="008B2896" w:rsidP="002E5918" w:rsidR="008B2896">
                  <w:r>
                    <w:t>Actual/360</w:t>
                  </w:r>
                </w:p>
              </w:tc>
            </w:tr>
            <w:tr w:rsidTr="002E5918" w:rsidR="008B2896">
              <w:tc>
                <w:tcPr>
                  <w:tcW w:type="dxa" w:w="1818"/>
                </w:tcPr>
                <w:p w:rsidRDefault="008B2896" w:rsidP="002E5918" w:rsidR="008B2896">
                  <w:pPr>
                    <w:rPr>
                      <w:rStyle w:val="Codefragment"/>
                    </w:rPr>
                  </w:pPr>
                  <w:r>
                    <w:t>3</w:t>
                  </w:r>
                </w:p>
              </w:tc>
              <w:tc>
                <w:tcPr>
                  <w:tcW w:type="dxa" w:w="2340"/>
                </w:tcPr>
                <w:p w:rsidRDefault="008B2896" w:rsidP="002E5918" w:rsidR="008B2896">
                  <w:r>
                    <w:t>Actual/365</w:t>
                  </w:r>
                </w:p>
              </w:tc>
            </w:tr>
            <w:tr w:rsidTr="002E5918" w:rsidR="008B2896">
              <w:tc>
                <w:tcPr>
                  <w:tcW w:type="dxa" w:w="1818"/>
                </w:tcPr>
                <w:p w:rsidRDefault="008B2896" w:rsidP="002E5918" w:rsidR="008B2896">
                  <w:pPr>
                    <w:rPr>
                      <w:rStyle w:val="Codefragment"/>
                    </w:rPr>
                  </w:pPr>
                  <w:r>
                    <w:t>4</w:t>
                  </w:r>
                </w:p>
              </w:tc>
              <w:tc>
                <w:tcPr>
                  <w:tcW w:type="dxa" w:w="2340"/>
                </w:tcPr>
                <w:p w:rsidRDefault="008B2896" w:rsidP="002E5918" w:rsidR="008B2896">
                  <w:r>
                    <w:t>European 30/360</w:t>
                  </w:r>
                </w:p>
              </w:tc>
            </w:tr>
          </w:tbl>
          <w:p w:rsidRDefault="008B2896" w:rsidP="002E5918" w:rsidR="008B2896"/>
        </w:tc>
      </w:tr>
    </w:tbl>
    <w:p w:rsidRDefault="008B2896" w:rsidP="008B2896" w:rsidR="008B2896"/>
    <w:p w:rsidRDefault="008B2896" w:rsidP="008B2896" w:rsidR="008B2896">
      <w:r>
        <w:t>Time information in the date arguments is ignored.</w:t>
      </w:r>
    </w:p>
    <w:p w:rsidRDefault="008B2896" w:rsidP="008B2896" w:rsidR="008B2896">
      <w:r>
        <w:t>Return Type and Value:</w:t>
      </w:r>
      <w:r>
        <w:t xml:space="preserve"> number</w:t>
      </w:r>
      <w:r>
        <w:t xml:space="preserve"> </w:t>
      </w:r>
      <w:r>
        <w:t>– The discount rate for a security.</w:t>
      </w:r>
    </w:p>
    <w:p w:rsidRDefault="008B2896" w:rsidP="008B2896" w:rsidR="008B2896">
      <w:r>
        <w:t>However, if</w:t>
      </w:r>
    </w:p>
    <w:p w:rsidRDefault="008B2896" w:rsidP="008B2896" w:rsidR="008B2896">
      <w:pPr>
        <w:pStyle w:val="ListBullet"/>
        <w:numPr>
          <w:ilvl w:val="0"/>
          <w:numId w:val="89"/>
        </w:numPr>
      </w:pPr>
      <w:r>
        <w:t>settlement </w:t>
      </w:r>
      <w:r>
        <w:t xml:space="preserve">or </w:t>
      </w:r>
      <w:r>
        <w:t>maturity</w:t>
      </w:r>
      <w:r>
        <w:t xml:space="preserve"> is out of range for the current date base value, </w:t>
      </w:r>
      <w:r>
        <w:t>#NUM!</w:t>
      </w:r>
      <w:r>
        <w:t xml:space="preserve"> is returned.</w:t>
      </w:r>
    </w:p>
    <w:p w:rsidRDefault="008B2896" w:rsidP="008B2896" w:rsidR="008B2896">
      <w:pPr>
        <w:pStyle w:val="ListBullet"/>
      </w:pPr>
      <w:r>
        <w:t>settlement </w:t>
      </w:r>
      <w:r>
        <w:t>≥ </w:t>
      </w:r>
      <w:r>
        <w:t>maturity</w:t>
      </w:r>
      <w:r>
        <w:t xml:space="preserve">, </w:t>
      </w:r>
      <w:r>
        <w:t>#NUM!</w:t>
      </w:r>
      <w:r>
        <w:t xml:space="preserve"> </w:t>
      </w:r>
      <w:hyperlink r:id="rId9">
        <w:r>
          <w:rPr>
            <w:rStyle w:val="Hyperlink"/>
          </w:rPr>
          <w:t>is</w:t>
        </w:r>
      </w:hyperlink>
      <w:r>
        <w:t xml:space="preserve"> returned.</w:t>
      </w:r>
    </w:p>
    <w:p w:rsidRDefault="008B2896" w:rsidP="008B2896" w:rsidR="008B2896">
      <w:pPr>
        <w:pStyle w:val="ListBullet"/>
      </w:pPr>
      <w:r>
        <w:t>pr </w:t>
      </w:r>
      <w:r>
        <w:t xml:space="preserve">or </w:t>
      </w:r>
      <w:r>
        <w:t>redemption</w:t>
      </w:r>
      <w:r>
        <w:t xml:space="preserve"> ≤ 0, </w:t>
      </w:r>
      <w:r>
        <w:t>#NUM!</w:t>
      </w:r>
      <w:r>
        <w:t xml:space="preserve"> is returned.</w:t>
      </w:r>
    </w:p>
    <w:p w:rsidRDefault="008B2896" w:rsidP="008B2896" w:rsidR="008B2896">
      <w:pPr>
        <w:pStyle w:val="ListBullet"/>
      </w:pPr>
      <w:r>
        <w:t>basis </w:t>
      </w:r>
      <w:r>
        <w:t xml:space="preserve">&lt; 0 or </w:t>
      </w:r>
      <w:r>
        <w:t>basis </w:t>
      </w:r>
      <w:r>
        <w:t xml:space="preserve">&gt; 4, </w:t>
      </w:r>
      <w:r>
        <w:t>#NUM!</w:t>
      </w:r>
      <w:r>
        <w:t xml:space="preserve"> is returned.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DISC(DATE(2007,1,25),DATE(2007,6,15),97.975,100,1)</w:t>
      </w:r>
      <w:r>
        <w:t xml:space="preserve"> results in </w:t>
      </w:r>
      <w:r>
        <w:t>5.2420%</w:t>
      </w:r>
      <w:r>
        <w:br/>
      </w:r>
      <w:r>
        <w:br/>
      </w:r>
      <w:r>
        <w:t>end example</w:t>
      </w:r>
      <w:r>
        <w:t>]</w:t>
      </w:r>
    </w:p>
    <w:bookmarkEnd w:id="100003"/>
    <w:bookmarkEnd w:id="100004"/>
    <w:bookmarkEnd w:id="100005"/>
    <w:bookmarkEnd w:id="100006"/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290.gif"></Relationship><Relationship Id="rId9" Type="http://schemas.openxmlformats.org/officeDocument/2006/relationships/hyperlink" Target="is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