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19_1" w:id="100001"/>
      <w:bookmarkStart w:name="_Toc147897125_1" w:id="100002"/>
      <w:r>
        <w:t>DDB</w:t>
      </w:r>
      <w:bookmarkStart w:name="_Ref130650843_1" w:id="100003"/>
      <w:bookmarkStart w:name="_Toc133292091_1" w:id="100004"/>
      <w:bookmarkStart w:name="_Ref133905565_1" w:id="100005"/>
      <w:bookmarkStart w:name="_Toc133915021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"DDB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DDB</w:t>
      </w:r>
      <w:r>
        <w:t xml:space="preserve">  </w:t>
      </w:r>
      <w:r>
        <w:t>(</w:t>
      </w:r>
      <w:r>
        <w:t xml:space="preserve">  cost  </w:t>
      </w:r>
      <w:r>
        <w:t>,</w:t>
      </w:r>
      <w:r>
        <w:t xml:space="preserve">  salvage  </w:t>
      </w:r>
      <w:r>
        <w:t>,</w:t>
      </w:r>
      <w:r>
        <w:t xml:space="preserve">  life  </w:t>
      </w:r>
      <w:r>
        <w:t>,</w:t>
      </w:r>
      <w:r>
        <w:t xml:space="preserve">  period  </w:t>
      </w:r>
      <w:r>
        <w:t>[</w:t>
      </w:r>
      <w:r>
        <w:t xml:space="preserve">  </w:t>
      </w:r>
      <w:r>
        <w:t>,</w:t>
      </w:r>
      <w:r>
        <w:t xml:space="preserve">  factor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depreciation of an asset for a specified period using the double-declining balance or some other specified method. [</w:t>
      </w:r>
      <w:r>
        <w:t>Note</w:t>
      </w:r>
      <w:r>
        <w:t xml:space="preserve">: Use </w:t>
      </w:r>
      <w:r>
        <w:t/>
      </w:r>
      <w:hyperlink r:id="rId9">
        <w:r>
          <w:rPr>
            <w:rStyle w:val="Hyperlink"/>
          </w:rPr>
          <w:t>VDB</w:t>
        </w:r>
      </w:hyperlink>
      <w:r>
        <w:t/>
      </w:r>
      <w:r>
        <w:t xml:space="preserve"> (§</w:t>
      </w:r>
      <w:fldSimple w:instr=" REF _Ref130651640 \r \h ">
        <w:r>
          <w:t>3.17.7.338</w:t>
        </w:r>
      </w:fldSimple>
      <w:r>
        <w:t xml:space="preserve">) for a straight-line depreciation method when depreciation is greater than the declining balance calculation. </w:t>
      </w:r>
      <w:r>
        <w:t>end note</w:t>
      </w:r>
      <w:r>
        <w:t>]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>MIN(</w:t>
      </w:r>
      <w:r>
        <w:t>(cost - total depreciation from prior periods) * (factor/life), (cost - salvage - total depreciation from prior periods)</w:t>
      </w:r>
      <w:r>
        <w:t>)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initial cost of the asset.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salvage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value at the end of the depreciation. (This is sometimes called the salvage value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life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number of periods over which the asset is being depreciated. (This is sometimes called the useful life of the asset.)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period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period for which the depreciation is to be calculated. (</w:t>
            </w:r>
            <w:r>
              <w:t>period</w:t>
            </w:r>
            <w:r>
              <w:t xml:space="preserve"> shall use the same units as </w:t>
            </w:r>
            <w:r>
              <w:t>life</w:t>
            </w:r>
            <w:r>
              <w:t>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factor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  <w:shd w:fill="auto" w:color="auto" w:val="clear"/>
          </w:tcPr>
          <w:p w:rsidRDefault="008B2896" w:rsidP="002E5918" w:rsidR="008B2896">
            <w:r>
              <w:t>The rate at which the balance declines. If omitted, it is assumed to be 2 (the double-declining balance method).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>: number – The depreciation of an asset for a specified period.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4"/>
        </w:numPr>
      </w:pPr>
      <w:r>
        <w:t xml:space="preserve">salvage &lt; 0 #NUM!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cost life &lt;= 0, #NUM! is returned.</w:t>
      </w:r>
    </w:p>
    <w:p w:rsidRDefault="008B2896" w:rsidP="008B2896" w:rsidR="008B2896">
      <w:pPr>
        <w:pStyle w:val="ListBullet"/>
      </w:pPr>
      <w:r>
        <w:t xml:space="preserve">life &lt;= 0 #NUM!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 xml:space="preserve">period &lt;= 0, #NUM!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 xml:space="preserve">factor &lt;= 0, #NUM!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DDB(2400,300,10*365,1)</w:t>
      </w:r>
      <w:r>
        <w:t xml:space="preserve"> results in </w:t>
      </w:r>
      <w:r>
        <w:t>1.32</w:t>
      </w:r>
      <w:r>
        <w:br/>
      </w:r>
      <w:r>
        <w:t>DDB(2400,300,10*12,1,2)</w:t>
      </w:r>
      <w:r>
        <w:t xml:space="preserve"> results in </w:t>
      </w:r>
      <w:r>
        <w:t>40.00</w:t>
      </w:r>
      <w:r>
        <w:br/>
      </w:r>
      <w:r>
        <w:t>DDB(2400,300,10,1,2)</w:t>
      </w:r>
      <w:r>
        <w:t xml:space="preserve"> results in </w:t>
      </w:r>
      <w:r>
        <w:t>480.00</w:t>
      </w:r>
      <w:r>
        <w:br/>
      </w:r>
      <w:r>
        <w:t>DDB(2400,300,10,2,1.5)</w:t>
      </w:r>
      <w:r>
        <w:t xml:space="preserve"> results in </w:t>
      </w:r>
      <w:r>
        <w:t>306.00</w:t>
      </w:r>
      <w:r>
        <w:br/>
      </w:r>
      <w:r>
        <w:t>DDB(2400,300,10,10)</w:t>
      </w:r>
      <w:r>
        <w:t xml:space="preserve"> results in </w:t>
      </w:r>
      <w:r>
        <w:t>22.12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DB.docx" TargetMode="External"/><Relationship Id="rId10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