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07_1" w:id="100001"/>
      <w:bookmarkStart w:name="_Toc147897112_1" w:id="100002"/>
      <w:r>
        <w:t>CUBESETCOUNT</w:t>
      </w:r>
      <w:bookmarkStart w:name="_Ref130650162_1" w:id="100003"/>
      <w:bookmarkStart w:name="_Toc133292079_1" w:id="100004"/>
      <w:bookmarkStart w:name="_Ref133904750_1" w:id="100005"/>
      <w:bookmarkStart w:name="_Toc133915009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"CUBESETCOUNT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CUBESETCOUNT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set</w:t>
        </w:r>
      </w:hyperlink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 xml:space="preserve">: Computes the number of </w:t>
      </w:r>
      <w:hyperlink r:id="rId10">
        <w:r>
          <w:rPr>
            <w:rStyle w:val="Hyperlink"/>
          </w:rPr>
          <w:t>items</w:t>
        </w:r>
      </w:hyperlink>
      <w:r>
        <w:t xml:space="preserve"> in a set.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set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An expression that evaluates to a set defined by the </w:t>
            </w:r>
            <w:r>
              <w:t/>
            </w:r>
            <w:hyperlink r:id="rId12">
              <w:r>
                <w:rPr>
                  <w:rStyle w:val="Hyperlink"/>
                </w:rPr>
                <w:t>CUBESET</w:t>
              </w:r>
            </w:hyperlink>
            <w:r>
              <w:t/>
            </w:r>
            <w:r>
              <w:t xml:space="preserve"> function.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 xml:space="preserve">: number – The number of </w:t>
      </w:r>
      <w:hyperlink r:id="rId10">
        <w:r>
          <w:rPr>
            <w:rStyle w:val="Hyperlink"/>
          </w:rPr>
          <w:t>items</w:t>
        </w:r>
      </w:hyperlink>
      <w:r>
        <w:t xml:space="preserve"> in a set.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CUBESETCOUNT(A3)</w:t>
      </w:r>
      <w:r>
        <w:br/>
      </w:r>
      <w:r>
        <w:t>CUBESETCOUNT(CUBESET("Sales","[Product].[All Products].Children",</w:t>
      </w:r>
      <w:r>
        <w:br/>
      </w:r>
      <w:r>
        <w:t xml:space="preserve">  "Products",1,"[Measures].[Sales Amount]"))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set.docx" TargetMode="External"/><Relationship Id="rId10" Type="http://schemas.openxmlformats.org/officeDocument/2006/relationships/hyperlink" Target="items.docx" TargetMode="External"/><Relationship Id="rId11" Type="http://schemas.openxmlformats.org/officeDocument/2006/relationships/hyperlink" Target="text.docx" TargetMode="External"/><Relationship Id="rId12" Type="http://schemas.openxmlformats.org/officeDocument/2006/relationships/hyperlink" Target="CUBESE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