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8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0_1" w:id="100001"/>
      <w:bookmarkStart w:name="_Toc147897105_1" w:id="100002"/>
      <w:r>
        <w:t>COVAR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"COVAR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COVAR</w:t>
      </w:r>
      <w:r>
        <w:t xml:space="preserve">  </w:t>
      </w:r>
      <w:r>
        <w:t>(</w:t>
      </w:r>
      <w:r>
        <w:t xml:space="preserve">  array-1  </w:t>
      </w:r>
      <w:r>
        <w:t>,</w:t>
      </w:r>
      <w:r>
        <w:t xml:space="preserve">  array-2  </w:t>
      </w:r>
      <w:r>
        <w:t>)</w:t>
      </w:r>
    </w:p>
    <w:p w:rsidRDefault="008B2896" w:rsidP="008B2896" w:rsidR="008B2896">
      <w:r>
        <w:t>Description:</w:t>
      </w:r>
      <w:r>
        <w:t xml:space="preserve"> Computes covariance; that is, the average of the products of deviations for each data point pair in the two </w:t>
      </w:r>
      <w:hyperlink r:id="rId10">
        <w:r>
          <w:rPr>
            <w:rStyle w:val="Hyperlink"/>
          </w:rPr>
          <w:t>cell</w:t>
        </w:r>
      </w:hyperlink>
      <w:r>
        <w:t xml:space="preserve"> ranges designated by </w:t>
      </w:r>
      <w:r>
        <w:t>array-1</w:t>
      </w:r>
      <w:r>
        <w:t xml:space="preserve"> and </w:t>
      </w:r>
      <w:r>
        <w:t>array-2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covariance is: </w:t>
      </w:r>
    </w:p>
    <w:p w:rsidRDefault="008B2896" w:rsidP="008B2896" w:rsidR="008B2896">
      <w:r>
        <w:drawing>
          <wp:inline distR="0" distL="0" distB="0" distT="0">
            <wp:extent cy="446405" cx="1872615"/>
            <wp:effectExtent b="0" r="0" t="0" l="0"/>
            <wp:docPr descr="Equation" name="Picture 16" id="7547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46405" cx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and y are the sample means </w:t>
      </w:r>
      <w:r>
        <w:t>AVERAGE(</w:t>
      </w:r>
      <w:r>
        <w:t>array-1</w:t>
      </w:r>
      <w:r>
        <w:t>)</w:t>
      </w:r>
      <w:r>
        <w:t xml:space="preserve"> and </w:t>
      </w:r>
      <w:r>
        <w:t>AVERAGE(</w:t>
      </w:r>
      <w:r>
        <w:t>array-2</w:t>
      </w:r>
      <w:r>
        <w:t>)</w:t>
      </w:r>
      <w:r>
        <w:t xml:space="preserve">, and </w:t>
      </w:r>
      <w:hyperlink r:id="rId11">
        <w:r>
          <w:rPr>
            <w:rStyle w:val="Hyperlink"/>
          </w:rPr>
          <w:t>n</w:t>
        </w:r>
      </w:hyperlink>
      <w:r>
        <w:t xml:space="preserve"> is the sample size.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  <w:vMerge w:val="restart"/>
          </w:tcPr>
          <w:p w:rsidRDefault="008B2896" w:rsidP="002E5918" w:rsidR="008B2896">
            <w:r>
              <w:t xml:space="preserve">number, name, 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If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array-2</w:t>
            </w:r>
          </w:p>
        </w:tc>
        <w:tc>
          <w:tcPr>
            <w:tcW w:type="dxa" w:w="1800"/>
            <w:vMerge/>
          </w:tcPr>
          <w:p w:rsidRDefault="008B2896" w:rsidP="002E5918" w:rsidR="008B2896"/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covariance.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0"/>
        </w:numPr>
      </w:pPr>
      <w:r>
        <w:t>array-1</w:t>
      </w:r>
      <w:r>
        <w:t xml:space="preserve"> and </w:t>
      </w:r>
      <w:r>
        <w:t>array-2</w:t>
      </w:r>
      <w:r>
        <w:t xml:space="preserve"> have a different number of data points, the return value is unspecified.</w:t>
      </w:r>
    </w:p>
    <w:p w:rsidRDefault="008B2896" w:rsidP="008B2896" w:rsidR="008B2896">
      <w:pPr>
        <w:pStyle w:val="ListBullet"/>
      </w:pPr>
      <w:r>
        <w:t>array-1</w:t>
      </w:r>
      <w:r>
        <w:t xml:space="preserve"> or </w:t>
      </w:r>
      <w:r>
        <w:t>array-2</w:t>
      </w:r>
      <w:r>
        <w:t xml:space="preserve"> is empty,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COVAR({2.532,5.621;2.1,3.4},{5.32,2.765;5.2,6.7})</w:t>
      </w:r>
      <w:r>
        <w:t xml:space="preserve"> results in </w:t>
      </w:r>
      <w:r>
        <w:t>-1.375374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88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n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