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81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0791_1" w:id="100001"/>
      <w:bookmarkStart w:name="_Toc133292033_1" w:id="100002"/>
      <w:bookmarkStart w:name="_Toc133914963_1" w:id="100003"/>
      <w:bookmarkStart w:name="_Toc142462062_1" w:id="100004"/>
      <w:bookmarkStart w:name="_Toc147897068_1" w:id="100005"/>
      <w:r>
        <w:t>BESSELY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"BESSELY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BESSELY</w:t>
      </w:r>
      <w:r>
        <w:t xml:space="preserve">  </w:t>
      </w:r>
      <w:r>
        <w:t>(</w:t>
      </w:r>
      <w:r>
        <w:t xml:space="preserve">  x  </w:t>
      </w:r>
      <w:r>
        <w:t>,</w:t>
      </w:r>
      <w:r>
        <w:t xml:space="preserve">  </w:t>
      </w:r>
      <w:hyperlink r:id="rId10">
        <w:r>
          <w:rPr>
            <w:rStyle w:val="Hyperlink"/>
          </w:rPr>
          <w:t>n</w:t>
        </w:r>
      </w:hyperlink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Weber's Bessel function Yn(x).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t xml:space="preserve">The n-th order Bessel function of the variable x is: </w:t>
      </w:r>
    </w:p>
    <w:p w:rsidRDefault="008B2896" w:rsidP="008B2896" w:rsidR="008B2896">
      <w:r>
        <w:drawing>
          <wp:inline distR="0" distL="0" distB="0" distT="0">
            <wp:extent cy="349885" cx="2162810"/>
            <wp:effectExtent b="0" r="0" t="0" l="0"/>
            <wp:docPr descr="Equation" name="Picture 70" id="5617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70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49885" cx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value at which to evaluate the function.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n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order of the Bessel function. This value is truncated to an integer.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Weber's Bessel function Yn(x).</w:t>
      </w:r>
    </w:p>
    <w:p w:rsidRDefault="008B2896" w:rsidP="008B2896" w:rsidR="008B2896">
      <w:r>
        <w:t xml:space="preserve">However, if </w:t>
      </w:r>
      <w:r>
        <w:t/>
      </w:r>
      <w:hyperlink r:id="rId10">
        <w:r>
          <w:rPr>
            <w:rStyle w:val="Hyperlink"/>
          </w:rPr>
          <w:t>n</w:t>
        </w:r>
      </w:hyperlink>
      <w:r>
        <w:t/>
      </w:r>
      <w:r>
        <w:t xml:space="preserve"> &lt; 0,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BESSELY(2.345,5)</w:t>
      </w:r>
      <w:r>
        <w:t xml:space="preserve"> results in </w:t>
      </w:r>
      <w:r>
        <w:t>-4.98977884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81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n.docx" TargetMode="External"/><Relationship Id="rId11" Type="http://schemas.openxmlformats.org/officeDocument/2006/relationships/hyperlink" Target="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