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1"/>
    <w:bookmarkStart w:name="1_bookmark10"/>
    <w:bookmarkStart w:name="1_bookmark9"/>
    <w:bookmarkStart w:name="1_bookmark8"/>
    <w:p w:rsidRDefault="008B2896" w:rsidP="008B2896" w:rsidR="008B2896">
      <w:pPr>
        <w:pStyle w:val="Heading4"/>
        <w:numPr>
          <w:ilvl w:val="0"/>
          <w:numId w:val="0"/>
        </w:numPr>
      </w:pPr>
      <w:bookmarkStart w:name="_Ref137198893_1" w:id="100001"/>
      <w:bookmarkStart w:name="_Toc142462057_1" w:id="100002"/>
      <w:bookmarkStart w:name="_Toc147897063_1" w:id="100003"/>
      <w:r>
        <w:t>AVERAGEIFS</w:t>
      </w:r>
      <w:bookmarkEnd w:id="100008"/>
      <w:bookmarkEnd w:id="100009"/>
      <w:bookmarkEnd w:id="100010"/>
      <w:bookmarkEnd w:id="100011"/>
      <w:bookmarkEnd w:id="100001"/>
      <w:bookmarkEnd w:id="100002"/>
      <w:bookmarkEnd w:id="100003"/>
      <w:r>
        <w:fldChar w:fldCharType="begin"/>
      </w:r>
      <w:r>
        <w:instrText xml:space="preserve"> XE "AVERAGEIFS SpreadsheetML function" \b </w:instrText>
      </w:r>
      <w:r>
        <w:fldChar w:fldCharType="end"/>
      </w:r>
    </w:p>
    <w:p w:rsidRDefault="008B2896" w:rsidP="008B2896" w:rsidR="008B2896">
      <w:bookmarkStart w:name="_Ref130654836_1" w:id="100004"/>
      <w:bookmarkStart w:name="_Toc133292029_1" w:id="100005"/>
      <w:bookmarkStart w:name="_Ref133906424_1" w:id="100006"/>
      <w:bookmarkStart w:name="_Toc133914959_1" w:id="100007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AVERAGEIFS</w:t>
      </w:r>
      <w:r>
        <w:t xml:space="preserve">  </w:t>
      </w:r>
      <w:r>
        <w:t>(</w:t>
      </w:r>
      <w:r>
        <w:t xml:space="preserve">  average-range  </w:t>
      </w:r>
      <w:r>
        <w:t>,</w:t>
      </w:r>
      <w:r>
        <w:t xml:space="preserve">  cell-range-1  </w:t>
      </w:r>
      <w:r>
        <w:t>,</w:t>
      </w:r>
      <w:r>
        <w:t xml:space="preserve">  selection-criteria-1</w:t>
      </w:r>
      <w:r>
        <w:br/>
      </w:r>
      <w:r>
        <w:t>[</w:t>
      </w:r>
      <w:r>
        <w:t xml:space="preserve"> </w:t>
      </w:r>
      <w:r>
        <w:t>,</w:t>
      </w:r>
      <w:r>
        <w:t xml:space="preserve">  cell-range-2  </w:t>
      </w:r>
      <w:r>
        <w:t>,</w:t>
      </w:r>
      <w:r>
        <w:t xml:space="preserve">  selection-criteria-2  </w:t>
      </w:r>
      <w:r>
        <w:t>[</w:t>
      </w:r>
      <w:r>
        <w:t xml:space="preserve"> </w:t>
      </w:r>
      <w:r>
        <w:t>,</w:t>
      </w:r>
      <w:r>
        <w:t xml:space="preserve">  …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The average of the values of all cells that meet multiple criteria.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average-range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Designates the cells whose values are averaged. In this case, </w:t>
            </w:r>
            <w:r>
              <w:t>average-range</w:t>
            </w:r>
            <w:r>
              <w:t xml:space="preserve"> need not have the same size and shape as </w:t>
            </w:r>
            <w:r>
              <w:t>cell-range-1</w:t>
            </w:r>
            <w:r>
              <w:t xml:space="preserve"> through </w:t>
            </w:r>
            <w:r>
              <w:t>cell-range-n</w:t>
            </w:r>
            <w:r>
              <w:t xml:space="preserve">. The actual cells that are added are determined by using the top, left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>average-range</w:t>
            </w:r>
            <w:r>
              <w:t xml:space="preserve"> as the beginning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, and then including cells that correspond in size and shape to </w:t>
            </w:r>
            <w:r>
              <w:t>cell-range-1</w:t>
            </w:r>
            <w:r>
              <w:t xml:space="preserve"> through </w:t>
            </w:r>
            <w:r>
              <w:t>cell-range-n</w:t>
            </w:r>
            <w:r>
              <w:t xml:space="preserve">. If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>average-range</w:t>
            </w:r>
            <w:r>
              <w:t xml:space="preserve"> is empty, that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is ignored. Each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>average-range</w:t>
            </w:r>
            <w:r>
              <w:t xml:space="preserve"> is used in the average calculation only if all of the corresponding criteria specified are true for that cell.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cell-range-1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expression,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Designates the first range of cells to be inspected. 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selection-criteria-1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selection-criteria-1</w:t>
            </w:r>
            <w:r>
              <w:t xml:space="preserve"> specifies the criteria for the first range of cells that will be averaged. In the case of text, </w:t>
            </w:r>
            <w:r>
              <w:t>selection-criteria-1</w:t>
            </w:r>
            <w:r>
              <w:t xml:space="preserve"> can consist of any comparison operator followed by the operand against which each cell's value is to be compared. If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in any </w:t>
            </w:r>
            <w:hyperlink r:id="rId12">
              <w:r>
                <w:rPr>
                  <w:rStyle w:val="Hyperlink"/>
                </w:rPr>
                <w:t>selection</w:t>
              </w:r>
            </w:hyperlink>
            <w:r>
              <w:t xml:space="preserve"> criteria range is empty, it is treated as if its value was 0. Cells that contain </w:t>
            </w:r>
            <w:r>
              <w:t/>
            </w:r>
            <w:hyperlink r:id="rId13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evaluate to  1; cells in any range that contain </w:t>
            </w:r>
            <w:r>
              <w:t/>
            </w:r>
            <w:hyperlink r:id="rId14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evaluate to 0. </w:t>
            </w:r>
            <w:r>
              <w:t>selection-criteria-1</w:t>
            </w:r>
            <w:r>
              <w:t xml:space="preserve"> can include one or more wildcard characters, question mark (</w:t>
            </w:r>
            <w:r>
              <w:t>?</w:t>
            </w:r>
            <w:r>
              <w:t>) and asterisk (</w:t>
            </w:r>
            <w:r>
              <w:t>*</w:t>
            </w:r>
            <w:r>
              <w:t>). A question mark matches any single character; an asterisk matches any sequence of characters. To search for a question mark, asterisk, or tilde character, prefix that character with a tilde (</w:t>
            </w:r>
            <w:r>
              <w:t>~</w:t>
            </w:r>
            <w:r>
              <w:t>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cell-range-n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expression,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 xml:space="preserve">The optional arguments </w:t>
            </w:r>
            <w:r>
              <w:t>selection-criteria-2</w:t>
            </w:r>
            <w:r>
              <w:t xml:space="preserve"> through </w:t>
            </w:r>
            <w:r>
              <w:t xml:space="preserve">selection-criteria-n </w:t>
            </w:r>
            <w:r>
              <w:t xml:space="preserve">have corresponding arguments </w:t>
            </w:r>
            <w:r>
              <w:t>cell-range-2</w:t>
            </w:r>
            <w:r>
              <w:t xml:space="preserve"> through </w:t>
            </w:r>
            <w:r>
              <w:t>cell-range-n</w:t>
            </w:r>
            <w:r>
              <w:t xml:space="preserve">, and have the same semantics as </w:t>
            </w:r>
            <w:r>
              <w:t>selection-criteria-1</w:t>
            </w:r>
            <w:r>
              <w:t xml:space="preserve"> and </w:t>
            </w:r>
            <w:r>
              <w:t>cell-range-1</w:t>
            </w:r>
            <w:r>
              <w:t>, respectively.</w:t>
            </w:r>
          </w:p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selection-criteria-n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average of the cells corresponding to those selected.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50"/>
        </w:numPr>
      </w:pPr>
      <w:r>
        <w:t xml:space="preserve">Cells in </w:t>
      </w:r>
      <w:r>
        <w:t>average-range</w:t>
      </w:r>
      <w:r>
        <w:t xml:space="preserve"> are empty or contain text values that cannot be translated into numbers, the return value is unspecified.</w:t>
      </w:r>
    </w:p>
    <w:p w:rsidRDefault="008B2896" w:rsidP="008B2896" w:rsidR="008B2896">
      <w:pPr>
        <w:pStyle w:val="ListBullet"/>
      </w:pPr>
      <w:r>
        <w:t>There are no cells that meet all the criteria, the return value is unspecified.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ayout w:type="fixed"/>
        <w:tblLook w:val="04A0" w:noVBand="1" w:noHBand="0" w:lastColumn="0" w:firstColumn="1" w:lastRow="0" w:firstRow="1"/>
      </w:tblPr>
      <w:tblGrid>
        <w:gridCol w:w="468"/>
        <w:gridCol w:w="1357"/>
        <w:gridCol w:w="1895"/>
        <w:gridCol w:w="2180"/>
        <w:gridCol w:w="2045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357"/>
          </w:tcPr>
          <w:p w:rsidRDefault="008B2896" w:rsidP="002E5918" w:rsidR="008B2896">
            <w:r>
              <w:t>A</w:t>
            </w:r>
          </w:p>
        </w:tc>
        <w:tc>
          <w:tcPr>
            <w:tcW w:type="dxa" w:w="1895"/>
          </w:tcPr>
          <w:p w:rsidRDefault="008B2896" w:rsidP="002E5918" w:rsidR="008B2896">
            <w:r>
              <w:t>B</w:t>
            </w:r>
          </w:p>
        </w:tc>
        <w:tc>
          <w:tcPr>
            <w:tcW w:type="dxa" w:w="2180"/>
          </w:tcPr>
          <w:p w:rsidRDefault="008B2896" w:rsidP="002E5918" w:rsidR="008B2896">
            <w:r>
              <w:t>C</w:t>
            </w:r>
          </w:p>
        </w:tc>
        <w:tc>
          <w:tcPr>
            <w:tcW w:type="dxa" w:w="2045"/>
          </w:tcPr>
          <w:p w:rsidRDefault="008B2896" w:rsidP="002E5918" w:rsidR="008B2896">
            <w:r>
              <w:t>D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357"/>
          </w:tcPr>
          <w:p w:rsidRDefault="008B2896" w:rsidP="002E5918" w:rsidR="008B2896">
            <w:r>
              <w:t>Student</w:t>
            </w:r>
          </w:p>
        </w:tc>
        <w:tc>
          <w:tcPr>
            <w:tcW w:type="dxa" w:w="1895"/>
          </w:tcPr>
          <w:p w:rsidRDefault="008B2896" w:rsidP="002E5918" w:rsidR="008B2896">
            <w:r>
              <w:t>First Quiz Grade</w:t>
            </w:r>
          </w:p>
        </w:tc>
        <w:tc>
          <w:tcPr>
            <w:tcW w:type="dxa" w:w="2180"/>
          </w:tcPr>
          <w:p w:rsidRDefault="008B2896" w:rsidP="002E5918" w:rsidR="008B2896">
            <w:r>
              <w:t>Second Quiz Grade</w:t>
            </w:r>
          </w:p>
        </w:tc>
        <w:tc>
          <w:tcPr>
            <w:tcW w:type="dxa" w:w="2045"/>
          </w:tcPr>
          <w:p w:rsidRDefault="008B2896" w:rsidP="002E5918" w:rsidR="008B2896">
            <w:r>
              <w:t>Final Exam Grade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357"/>
          </w:tcPr>
          <w:p w:rsidRDefault="008B2896" w:rsidP="002E5918" w:rsidR="008B2896">
            <w:r>
              <w:t>Emilio</w:t>
            </w:r>
          </w:p>
        </w:tc>
        <w:tc>
          <w:tcPr>
            <w:tcW w:type="dxa" w:w="1895"/>
          </w:tcPr>
          <w:p w:rsidRDefault="008B2896" w:rsidP="002E5918" w:rsidR="008B2896">
            <w:r>
              <w:t>75</w:t>
            </w:r>
          </w:p>
        </w:tc>
        <w:tc>
          <w:tcPr>
            <w:tcW w:type="dxa" w:w="2180"/>
          </w:tcPr>
          <w:p w:rsidRDefault="008B2896" w:rsidP="002E5918" w:rsidR="008B2896">
            <w:r>
              <w:t>85</w:t>
            </w:r>
          </w:p>
        </w:tc>
        <w:tc>
          <w:tcPr>
            <w:tcW w:type="dxa" w:w="2045"/>
          </w:tcPr>
          <w:p w:rsidRDefault="008B2896" w:rsidP="002E5918" w:rsidR="008B2896">
            <w:r>
              <w:t>87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357"/>
          </w:tcPr>
          <w:p w:rsidRDefault="008B2896" w:rsidP="002E5918" w:rsidR="008B2896">
            <w:r>
              <w:t>Julie</w:t>
            </w:r>
          </w:p>
        </w:tc>
        <w:tc>
          <w:tcPr>
            <w:tcW w:type="dxa" w:w="1895"/>
          </w:tcPr>
          <w:p w:rsidRDefault="008B2896" w:rsidP="002E5918" w:rsidR="008B2896">
            <w:r>
              <w:t>94</w:t>
            </w:r>
          </w:p>
        </w:tc>
        <w:tc>
          <w:tcPr>
            <w:tcW w:type="dxa" w:w="2180"/>
          </w:tcPr>
          <w:p w:rsidRDefault="008B2896" w:rsidP="002E5918" w:rsidR="008B2896">
            <w:r>
              <w:t>80</w:t>
            </w:r>
          </w:p>
        </w:tc>
        <w:tc>
          <w:tcPr>
            <w:tcW w:type="dxa" w:w="2045"/>
          </w:tcPr>
          <w:p w:rsidRDefault="008B2896" w:rsidP="002E5918" w:rsidR="008B2896">
            <w:r>
              <w:t>88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357"/>
          </w:tcPr>
          <w:p w:rsidRDefault="008B2896" w:rsidP="002E5918" w:rsidR="008B2896">
            <w:r>
              <w:t>Hans</w:t>
            </w:r>
          </w:p>
        </w:tc>
        <w:tc>
          <w:tcPr>
            <w:tcW w:type="dxa" w:w="1895"/>
          </w:tcPr>
          <w:p w:rsidRDefault="008B2896" w:rsidP="002E5918" w:rsidR="008B2896">
            <w:r>
              <w:t>86</w:t>
            </w:r>
          </w:p>
        </w:tc>
        <w:tc>
          <w:tcPr>
            <w:tcW w:type="dxa" w:w="2180"/>
          </w:tcPr>
          <w:p w:rsidRDefault="008B2896" w:rsidP="002E5918" w:rsidR="008B2896">
            <w:r>
              <w:t>93</w:t>
            </w:r>
          </w:p>
        </w:tc>
        <w:tc>
          <w:tcPr>
            <w:tcW w:type="dxa" w:w="2045"/>
          </w:tcPr>
          <w:p w:rsidRDefault="008B2896" w:rsidP="002E5918" w:rsidR="008B2896">
            <w:r>
              <w:t>Incomplete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1357"/>
          </w:tcPr>
          <w:p w:rsidRDefault="008B2896" w:rsidP="002E5918" w:rsidR="008B2896">
            <w:r>
              <w:t>Frederique</w:t>
            </w:r>
          </w:p>
        </w:tc>
        <w:tc>
          <w:tcPr>
            <w:tcW w:type="dxa" w:w="1895"/>
          </w:tcPr>
          <w:p w:rsidRDefault="008B2896" w:rsidP="002E5918" w:rsidR="008B2896">
            <w:r>
              <w:t>Incomplete</w:t>
            </w:r>
          </w:p>
        </w:tc>
        <w:tc>
          <w:tcPr>
            <w:tcW w:type="dxa" w:w="2180"/>
          </w:tcPr>
          <w:p w:rsidRDefault="008B2896" w:rsidP="002E5918" w:rsidR="008B2896">
            <w:r>
              <w:t>75</w:t>
            </w:r>
          </w:p>
        </w:tc>
        <w:tc>
          <w:tcPr>
            <w:tcW w:type="dxa" w:w="2045"/>
          </w:tcPr>
          <w:p w:rsidRDefault="008B2896" w:rsidP="002E5918" w:rsidR="008B2896">
            <w:r>
              <w:t>75</w:t>
            </w:r>
          </w:p>
        </w:tc>
      </w:tr>
    </w:tbl>
    <w:p w:rsidRDefault="008B2896" w:rsidP="008B2896" w:rsidR="008B2896"/>
    <w:p w:rsidRDefault="008B2896" w:rsidP="008B2896" w:rsidR="008B2896">
      <w:r>
        <w:t>AVERAGEIFS(B2:B5,B2:B5,"&gt;70",B2:B5,"&lt;90")</w:t>
      </w:r>
      <w:r>
        <w:t xml:space="preserve"> results in </w:t>
      </w:r>
      <w:r>
        <w:t>80.5</w:t>
      </w:r>
      <w:r>
        <w:t xml:space="preserve"> (the average for all students all first quiz grades that are between 70 and 90)</w:t>
      </w:r>
    </w:p>
    <w:p w:rsidRDefault="008B2896" w:rsidP="008B2896" w:rsidR="008B2896">
      <w:r>
        <w:t>AVERAGEIFS(D2:D5,D2:D5,"&lt;&gt;Incomplete",D2:D5,"&gt;80")</w:t>
      </w:r>
      <w:r>
        <w:t xml:space="preserve"> results in </w:t>
      </w:r>
      <w:r>
        <w:t>87.5</w:t>
      </w:r>
      <w:r>
        <w:t xml:space="preserve"> (the average for all students all first quiz grades that are above 80 and not marked "Incomplete")</w:t>
      </w:r>
    </w:p>
    <w:p w:rsidRDefault="008B2896" w:rsidP="008B2896" w:rsidR="008B2896">
      <w:r>
        <w:t>AVERAGEIFS(B2:D5,B2:B5,"&lt;&gt;Incomplete",C2:C5,"&lt;&gt;Incomplete",D2:D5, "&lt;&gt;Incomplete")</w:t>
      </w:r>
      <w:r>
        <w:t xml:space="preserve"> results in 82.375 (the average grades for all students who do not have incomplete grades)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text.docx" TargetMode="External"/><Relationship Id="rId12" Type="http://schemas.openxmlformats.org/officeDocument/2006/relationships/hyperlink" Target="selection.docx" TargetMode="External"/><Relationship Id="rId13" Type="http://schemas.openxmlformats.org/officeDocument/2006/relationships/hyperlink" Target="TRUE.docx" TargetMode="External"/><Relationship Id="rId14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