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76_1" w:id="100001"/>
      <w:bookmarkStart w:name="bookea26cffe-e9aa-4245-b3ea-29a20c48d054_1" w:id="100002"/>
      <w:r>
        <w:t>vertJc</w:t>
      </w:r>
      <w:r>
        <w:t xml:space="preserve"> (Vertical Justification)</w:t>
      </w:r>
      <w:bookmarkEnd w:id="100001"/>
    </w:p>
    <w:bookmarkEnd w:id="100002"/>
    <w:p w:rsidRDefault="00675CE4" w:rsidP="00675CE4" w:rsidR="00675CE4">
      <w:r>
        <w:t xml:space="preserve">This element, combined with </w:t>
      </w:r>
      <w:r>
        <w:t/>
      </w:r>
      <w:hyperlink r:id="rId8">
        <w:r>
          <w:rPr>
            <w:rStyle w:val="Hyperlink"/>
          </w:rPr>
          <w:t>pos</w:t>
        </w:r>
      </w:hyperlink>
      <w:r>
        <w:t/>
      </w:r>
      <w:r>
        <w:t xml:space="preserve"> of </w:t>
      </w:r>
      <w:r>
        <w:t/>
      </w:r>
      <w:hyperlink r:id="rId9">
        <w:r>
          <w:rPr>
            <w:rStyle w:val="Hyperlink"/>
          </w:rPr>
          <w:t>groupChrPr</w:t>
        </w:r>
      </w:hyperlink>
      <w:r>
        <w:t/>
      </w:r>
      <w:r>
        <w:t xml:space="preserve">, specifies the vertical layout of the </w:t>
      </w:r>
      <w:r>
        <w:t/>
      </w:r>
      <w:hyperlink r:id="rId10">
        <w:r>
          <w:rPr>
            <w:rStyle w:val="Hyperlink"/>
          </w:rPr>
          <w:t>groupChr</w:t>
        </w:r>
      </w:hyperlink>
      <w:r>
        <w:t/>
      </w:r>
      <w:r>
        <w:t xml:space="preserve"> object. Where </w:t>
      </w:r>
      <w:r>
        <w:t/>
      </w:r>
      <w:hyperlink r:id="rId8">
        <w:r>
          <w:rPr>
            <w:rStyle w:val="Hyperlink"/>
          </w:rPr>
          <w:t>pos</w:t>
        </w:r>
      </w:hyperlink>
      <w:r>
        <w:t/>
      </w:r>
      <w:r>
        <w:t xml:space="preserve"> specifies the position of the grouping character, </w:t>
      </w:r>
      <w:r>
        <w:t>vertJc</w:t>
      </w:r>
      <w:r>
        <w:t xml:space="preserve"> specifies the alignment of the object with respect to the baseline. For example, when the group character is above the object, </w:t>
      </w:r>
      <w:r>
        <w:t>vertJc</w:t>
      </w:r>
      <w:r>
        <w:t xml:space="preserve"> of </w:t>
      </w:r>
      <w:r>
        <w:t>top</w:t>
      </w:r>
      <w:r>
        <w:t xml:space="preserve"> signifies that the top of the object falls on the baseline; when </w:t>
      </w:r>
      <w:r>
        <w:t>vertJc</w:t>
      </w:r>
      <w:r>
        <w:t xml:space="preserve"> is set to </w:t>
      </w:r>
      <w:r>
        <w:t>bot</w:t>
      </w:r>
      <w:r>
        <w:t xml:space="preserve">, the bottom of the object is on the baseline. The table below demonstrates the four possible combinations of </w:t>
      </w:r>
      <w:r>
        <w:t/>
      </w:r>
      <w:hyperlink r:id="rId10">
        <w:r>
          <w:rPr>
            <w:rStyle w:val="Hyperlink"/>
          </w:rPr>
          <w:t>groupChr</w:t>
        </w:r>
      </w:hyperlink>
      <w:r>
        <w:t/>
      </w:r>
      <w:r>
        <w:t xml:space="preserve"> layout:</w:t>
      </w:r>
    </w:p>
    <w:tbl>
      <w:tblPr>
        <w:tblStyle w:val="ElementTable"/>
        <w:tblW w:type="auto" w:w="0"/>
        <w:tblLook w:val="04A0" w:noVBand="1" w:noHBand="0" w:lastColumn="0" w:firstColumn="1" w:lastRow="0" w:firstRow="1"/>
      </w:tblPr>
      <w:tblGrid>
        <w:gridCol w:w="3449"/>
        <w:gridCol w:w="3526"/>
        <w:gridCol w:w="3335"/>
      </w:tblGrid>
      <w:tr w:rsidTr="002E5918" w:rsidR="00675CE4">
        <w:trPr>
          <w:cnfStyle w:val="100000000000"/>
        </w:trPr>
        <w:tc>
          <w:tcPr>
            <w:tcW w:type="dxa" w:w="3449"/>
          </w:tcPr>
          <w:p w:rsidRDefault="00675CE4" w:rsidP="002E5918" w:rsidR="00675CE4">
            <w:pPr>
              <w:rPr>
                <w:rStyle w:val="Attribute"/>
              </w:rPr>
            </w:pPr>
            <w:r>
              <w:t>Pos</w:t>
            </w:r>
          </w:p>
        </w:tc>
        <w:tc>
          <w:tcPr>
            <w:tcW w:type="dxa" w:w="3526"/>
          </w:tcPr>
          <w:p w:rsidRDefault="00675CE4" w:rsidP="002E5918" w:rsidR="00675CE4">
            <w:pPr>
              <w:rPr>
                <w:rStyle w:val="Attribute"/>
              </w:rPr>
            </w:pPr>
            <w:r>
              <w:t>vertJc</w:t>
            </w:r>
          </w:p>
        </w:tc>
        <w:tc>
          <w:tcPr>
            <w:tcW w:type="dxa" w:w="3335"/>
          </w:tcPr>
          <w:p w:rsidRDefault="00675CE4" w:rsidP="002E5918" w:rsidR="00675CE4">
            <w:r>
              <w:t>Layout</w:t>
            </w:r>
          </w:p>
        </w:tc>
      </w:tr>
      <w:tr w:rsidTr="002E5918" w:rsidR="00675CE4">
        <w:tc>
          <w:tcPr>
            <w:tcW w:type="dxa" w:w="3449"/>
          </w:tcPr>
          <w:p w:rsidRDefault="00675CE4" w:rsidP="002E5918" w:rsidR="00675CE4">
            <w:pPr>
              <w:rPr>
                <w:rStyle w:val="Attributevalue"/>
              </w:rPr>
            </w:pPr>
            <w:r>
              <w:t>top</w:t>
            </w:r>
          </w:p>
        </w:tc>
        <w:tc>
          <w:tcPr>
            <w:tcW w:type="dxa" w:w="3526"/>
          </w:tcPr>
          <w:p w:rsidRDefault="00675CE4" w:rsidP="002E5918" w:rsidR="00675CE4">
            <w:pPr>
              <w:rPr>
                <w:rStyle w:val="Attributevalue"/>
              </w:rPr>
            </w:pPr>
            <w:r>
              <w:t>top</w:t>
            </w:r>
          </w:p>
        </w:tc>
        <w:tc>
          <w:tcPr>
            <w:tcW w:type="dxa" w:w="3335"/>
          </w:tcPr>
          <w:p w:rsidRDefault="00675CE4" w:rsidP="002E5918" w:rsidR="00675CE4">
            <w:pPr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eastAsiaTheme="minorEastAsia" w:hAnsi="Cambria Math" w:ascii="Cambria Math"/>
                  </w:rPr>
                  <m:t>a</m:t>
                </m:r>
                <m:box>
                  <m:boxPr>
                    <m:opEmu m:val="1"/>
                    <m:ctrlPr>
                      <w:rPr>
                        <w:rFonts w:hAnsi="Cambria Math" w:ascii="Cambria Math"/>
                        <w:lang w:eastAsia="en-US" w:val="en-US"/>
                      </w:rPr>
                    </m:ctrlPr>
                  </m:boxPr>
                  <m:e>
                    <m:groupChr>
                      <m:groupChrPr>
                        <m:chr m:val="←"/>
                        <m:pos m:val="top"/>
                        <m:ctrlPr>
                          <w:rPr>
                            <w:rFonts w:hAnsi="Cambria Math" w:ascii="Cambria Math"/>
                            <w:lang w:eastAsia="en-US" w:val="en-US"/>
                          </w:rPr>
                        </m:ctrlPr>
                      </m:groupChrPr>
                      <m:e>
                        <m:r>
                          <w:rPr>
                            <w:rFonts w:eastAsiaTheme="minorEastAsia" w:hAnsi="Cambria Math" w:ascii="Cambria Math"/>
                          </w:rPr>
                          <m:t>bcd</m:t>
                        </m:r>
                      </m:e>
                    </m:groupChr>
                  </m:e>
                </m:box>
                <m:r>
                  <w:rPr>
                    <w:rFonts w:eastAsiaTheme="minorEastAsia" w:hAnsi="Cambria Math" w:ascii="Cambria Math"/>
                  </w:rPr>
                  <m:t>e</m:t>
                </m:r>
              </m:oMath>
            </m:oMathPara>
          </w:p>
        </w:tc>
      </w:tr>
      <w:tr w:rsidTr="002E5918" w:rsidR="00675CE4">
        <w:tc>
          <w:tcPr>
            <w:tcW w:type="dxa" w:w="3449"/>
          </w:tcPr>
          <w:p w:rsidRDefault="00675CE4" w:rsidP="002E5918" w:rsidR="00675CE4">
            <w:pPr>
              <w:rPr>
                <w:rStyle w:val="Attributevalue"/>
              </w:rPr>
            </w:pPr>
            <w:r>
              <w:t>top</w:t>
            </w:r>
          </w:p>
        </w:tc>
        <w:tc>
          <w:tcPr>
            <w:tcW w:type="dxa" w:w="3526"/>
          </w:tcPr>
          <w:p w:rsidRDefault="00675CE4" w:rsidP="002E5918" w:rsidR="00675CE4">
            <w:pPr>
              <w:rPr>
                <w:rStyle w:val="Attributevalue"/>
              </w:rPr>
            </w:pPr>
            <w:r>
              <w:t>bot</w:t>
            </w:r>
          </w:p>
        </w:tc>
        <w:tc>
          <w:tcPr>
            <w:tcW w:type="dxa" w:w="3335"/>
          </w:tcPr>
          <w:p w:rsidRDefault="00675CE4" w:rsidP="002E5918" w:rsidR="00675CE4">
            <w:pPr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eastAsiaTheme="minorEastAsia" w:hAnsi="Cambria Math" w:ascii="Cambria Math"/>
                  </w:rPr>
                  <m:t>a</m:t>
                </m:r>
                <m:groupChr>
                  <m:groupChrPr>
                    <m:chr m:val="⏞"/>
                    <m:pos m:val="top"/>
                    <m:vertJc m:val="bot"/>
                    <m:ctrlPr>
                      <w:rPr>
                        <w:rFonts w:hAnsi="Cambria Math" w:ascii="Cambria Math"/>
                        <w:lang w:eastAsia="en-US" w:val="en-US"/>
                      </w:rPr>
                    </m:ctrlPr>
                  </m:groupChrPr>
                  <m:e>
                    <m:r>
                      <w:rPr>
                        <w:rFonts w:eastAsiaTheme="minorEastAsia" w:hAnsi="Cambria Math" w:ascii="Cambria Math"/>
                      </w:rPr>
                      <m:t>bcd</m:t>
                    </m:r>
                  </m:e>
                </m:groupChr>
                <m:r>
                  <w:rPr>
                    <w:rFonts w:eastAsiaTheme="minorEastAsia" w:hAnsi="Cambria Math" w:ascii="Cambria Math"/>
                  </w:rPr>
                  <m:t>e</m:t>
                </m:r>
              </m:oMath>
            </m:oMathPara>
          </w:p>
        </w:tc>
      </w:tr>
      <w:tr w:rsidTr="002E5918" w:rsidR="00675CE4">
        <w:tc>
          <w:tcPr>
            <w:tcW w:type="dxa" w:w="3449"/>
          </w:tcPr>
          <w:p w:rsidRDefault="00675CE4" w:rsidP="002E5918" w:rsidR="00675CE4">
            <w:pPr>
              <w:rPr>
                <w:rStyle w:val="Attributevalue"/>
              </w:rPr>
            </w:pPr>
            <w:r>
              <w:t>bot</w:t>
            </w:r>
          </w:p>
        </w:tc>
        <w:tc>
          <w:tcPr>
            <w:tcW w:type="dxa" w:w="3526"/>
          </w:tcPr>
          <w:p w:rsidRDefault="00675CE4" w:rsidP="002E5918" w:rsidR="00675CE4">
            <w:pPr>
              <w:rPr>
                <w:rStyle w:val="Attributevalue"/>
              </w:rPr>
            </w:pPr>
            <w:r>
              <w:t>top</w:t>
            </w:r>
          </w:p>
        </w:tc>
        <w:tc>
          <w:tcPr>
            <w:tcW w:type="dxa" w:w="3335"/>
          </w:tcPr>
          <w:p w:rsidRDefault="00675CE4" w:rsidP="002E5918" w:rsidR="00675CE4">
            <w:pPr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eastAsiaTheme="minorEastAsia" w:hAnsi="Cambria Math" w:ascii="Cambria Math"/>
                  </w:rPr>
                  <m:t>a</m:t>
                </m:r>
                <m:groupChr>
                  <m:groupChrPr>
                    <m:ctrlPr>
                      <w:rPr>
                        <w:rFonts w:hAnsi="Cambria Math" w:ascii="Cambria Math"/>
                      </w:rPr>
                    </m:ctrlPr>
                  </m:groupChrPr>
                  <m:e>
                    <m:r>
                      <w:rPr>
                        <w:rFonts w:eastAsiaTheme="minorEastAsia" w:hAnsi="Cambria Math" w:ascii="Cambria Math"/>
                      </w:rPr>
                      <m:t>bcd</m:t>
                    </m:r>
                  </m:e>
                </m:groupChr>
                <m:r>
                  <w:rPr>
                    <w:rFonts w:eastAsiaTheme="minorEastAsia" w:hAnsi="Cambria Math" w:ascii="Cambria Math"/>
                  </w:rPr>
                  <m:t>e</m:t>
                </m:r>
              </m:oMath>
            </m:oMathPara>
          </w:p>
        </w:tc>
      </w:tr>
      <w:tr w:rsidTr="002E5918" w:rsidR="00675CE4">
        <w:tc>
          <w:tcPr>
            <w:tcW w:type="dxa" w:w="3449"/>
          </w:tcPr>
          <w:p w:rsidRDefault="00675CE4" w:rsidP="002E5918" w:rsidR="00675CE4">
            <w:pPr>
              <w:rPr>
                <w:rStyle w:val="Attributevalue"/>
              </w:rPr>
            </w:pPr>
            <w:r>
              <w:t>bot</w:t>
            </w:r>
          </w:p>
        </w:tc>
        <w:tc>
          <w:tcPr>
            <w:tcW w:type="dxa" w:w="3526"/>
          </w:tcPr>
          <w:p w:rsidRDefault="00675CE4" w:rsidP="002E5918" w:rsidR="00675CE4">
            <w:pPr>
              <w:rPr>
                <w:rStyle w:val="Attributevalue"/>
              </w:rPr>
            </w:pPr>
            <w:r>
              <w:t>bot</w:t>
            </w:r>
          </w:p>
        </w:tc>
        <w:tc>
          <w:tcPr>
            <w:tcW w:type="dxa" w:w="3335"/>
          </w:tcPr>
          <w:p w:rsidRDefault="00675CE4" w:rsidP="002E5918" w:rsidR="00675CE4">
            <w:pPr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eastAsiaTheme="minorEastAsia" w:hAnsi="Cambria Math" w:ascii="Cambria Math"/>
                  </w:rPr>
                  <m:t>a</m:t>
                </m:r>
                <m:groupChr>
                  <m:groupChrPr>
                    <m:chr m:val="→"/>
                    <m:vertJc m:val="bot"/>
                    <m:ctrlPr>
                      <w:rPr>
                        <w:rFonts w:hAnsi="Cambria Math" w:ascii="Cambria Math"/>
                      </w:rPr>
                    </m:ctrlPr>
                  </m:groupChrPr>
                  <m:e>
                    <m:r>
                      <w:rPr>
                        <w:rFonts w:hAnsi="Cambria Math" w:ascii="Cambria Math"/>
                      </w:rPr>
                      <m:t>yields</m:t>
                    </m:r>
                  </m:e>
                </m:groupChr>
                <m:r>
                  <w:rPr>
                    <w:rFonts w:eastAsiaTheme="minorEastAsia" w:hAnsi="Cambria Math" w:ascii="Cambria Math"/>
                  </w:rPr>
                  <m:t>b</m:t>
                </m:r>
              </m:oMath>
            </m:oMathPara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groupChrPr</w:t>
              </w:r>
            </w:hyperlink>
            <w:r>
              <w:t/>
            </w:r>
            <w:r>
              <w:t xml:space="preserve"> (§</w:t>
            </w:r>
            <w:fldSimple w:instr="REF bookbf9778da-9a8f-4092-999d-ee9272652161 \r \h">
              <w:r>
                <w:t>7.1.2.42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position of the parent element. Possible values are </w:t>
            </w:r>
            <w:r>
              <w:t>top</w:t>
            </w:r>
            <w:r>
              <w:t xml:space="preserve"> and </w:t>
            </w:r>
            <w:r>
              <w:t>bot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>[</w:t>
            </w:r>
            <w:r>
              <w:t>Example</w:t>
            </w:r>
            <w:r>
              <w:t>:</w:t>
            </w:r>
          </w:p>
          <w:p w:rsidRDefault="00675CE4" w:rsidP="002E5918" w:rsidR="00675CE4">
            <w:pPr>
              <w:pStyle w:val="c"/>
            </w:pPr>
            <w:r>
              <w:t>&lt;m:barPr&gt;</w:t>
            </w:r>
            <w:r>
              <w:br/>
            </w:r>
            <w:r>
              <w:t xml:space="preserve">  &lt;m:pos   m:val="top"/&gt;</w:t>
            </w:r>
            <w:r>
              <w:br/>
            </w:r>
            <w:r>
              <w:t>&lt;/m:barPr&gt;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ST_TopBot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5572129-41a4-4f31-895d-e95766929b2b \r \h">
              <w:r>
                <w:t>7.1.3.15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name="CT_TopBot"&gt;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ST_TopBot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os.docx" TargetMode="External"/><Relationship Id="rId9" Type="http://schemas.openxmlformats.org/officeDocument/2006/relationships/hyperlink" Target="groupChrPr.docx" TargetMode="External"/><Relationship Id="rId10" Type="http://schemas.openxmlformats.org/officeDocument/2006/relationships/hyperlink" Target="groupChr.docx" TargetMode="External"/><Relationship Id="rId11" Type="http://schemas.openxmlformats.org/officeDocument/2006/relationships/hyperlink" Target="ST_TopBot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