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71_1" w:id="100001"/>
      <w:bookmarkStart w:name="book1e7aea6b-6463-4f7a-81f6-1222ef9653d6_1" w:id="100002"/>
      <w:r>
        <w:t>sup</w:t>
      </w:r>
      <w:r>
        <w:t xml:space="preserve"> (Superscript (Superscript function))</w:t>
      </w:r>
      <w:bookmarkEnd w:id="100001"/>
    </w:p>
    <w:bookmarkEnd w:id="100002"/>
    <w:p w:rsidRDefault="00675CE4" w:rsidP="00675CE4" w:rsidR="00675CE4">
      <w:r>
        <w:t xml:space="preserve">This element specifies the superscript of the superscript function </w:t>
      </w:r>
      <w:r>
        <w:t/>
      </w:r>
      <w:hyperlink r:id="rId8">
        <w:r>
          <w:rPr>
            <w:rStyle w:val="Hyperlink"/>
          </w:rPr>
          <w:t>sSup</w:t>
        </w:r>
      </w:hyperlink>
      <w:r>
        <w:t/>
      </w:r>
      <w:r>
        <w:t xml:space="preserve">. For example, the </w:t>
      </w:r>
      <w:r>
        <w:t xml:space="preserve">sup </w:t>
      </w:r>
      <w:r>
        <w:t xml:space="preserve">in the superscript object </w:t>
      </w:r>
      <m:oMath>
        <m:sSup>
          <m:sSupPr>
            <m:ctrlPr>
              <w:rPr>
                <w:rFonts w:hAnsi="Cambria Math" w:ascii="Cambria Math"/>
              </w:rPr>
            </m:ctrlPr>
          </m:sSupPr>
          <m:e>
            <m:r>
              <w:rPr>
                <w:rFonts w:hAnsi="Cambria Math" w:ascii="Cambria Math"/>
              </w:rPr>
              <m:t>x</m:t>
            </m:r>
          </m:e>
          <m:sup>
            <m:r>
              <w:rPr>
                <w:rFonts w:hAnsi="Cambria Math" w:ascii="Cambria Math"/>
              </w:rPr>
              <m:t>n</m:t>
            </m:r>
          </m:sup>
        </m:sSup>
      </m:oMath>
      <w:r>
        <w:t xml:space="preserve"> is </w:t>
      </w:r>
      <m:oMath>
        <m:r>
          <w:rPr>
            <w:rFonts w:hAnsi="Cambria Math" w:ascii="Cambria Math"/>
          </w:rPr>
          <m:t>n</m:t>
        </m:r>
      </m:oMath>
      <w:r>
        <w:t>. [</w:t>
      </w:r>
      <w:r>
        <w:t>Example</w:t>
      </w:r>
      <w:r>
        <w:t>: An example of this element in use is:</w:t>
      </w:r>
    </w:p>
    <w:p w:rsidRDefault="00675CE4" w:rsidP="00675CE4" w:rsidR="00675CE4">
      <w:pPr>
        <w:pStyle w:val="c"/>
      </w:pPr>
      <w:r>
        <w:t>&lt;m:sSup&gt;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&lt;m:sup&gt;</w:t>
      </w:r>
      <w:r>
        <w:br/>
      </w:r>
      <w:r>
        <w:t xml:space="preserve">    &lt;m:r&gt;</w:t>
      </w:r>
      <w:r>
        <w:br/>
      </w:r>
      <w:r>
        <w:t xml:space="preserve">      &lt;m:t&gt;n&lt;/m:t&gt;</w:t>
      </w:r>
      <w:r>
        <w:br/>
      </w:r>
      <w:r>
        <w:t xml:space="preserve">    &lt;/m:r&gt;</w:t>
      </w:r>
      <w:r>
        <w:br/>
      </w:r>
      <w:r>
        <w:t xml:space="preserve">  &lt;/m:sup&gt;</w:t>
      </w:r>
      <w:r>
        <w:br/>
      </w:r>
      <w:r>
        <w:t>&lt;/m:sSup&gt;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(§</w:t>
            </w:r>
            <w:fldSimple w:instr="REF book1095a460-d226-4348-97b8-c084885aebb4 \r \h">
              <w:r>
                <w:t>7.1.2.70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(§</w:t>
            </w:r>
            <w:fldSimple w:instr="REF book631cd16b-da06-4d8a-8701-5d119151dc2d \r \h">
              <w:r>
                <w:t>7.1.2.99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(§</w:t>
            </w:r>
            <w:fldSimple w:instr="REF book0083b23d-0391-48b6-b4c6-b21bb8d91ed8 \r \h">
              <w:r>
                <w:t>7.1.2.103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(§</w:t>
            </w:r>
            <w:fldSimple w:instr="REF book912a6cad-75f2-49c0-b7bd-ced22f84959a \r \h">
              <w:r>
                <w:t>7.1.2.105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(Argument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424477-a19e-427f-b3f8-c04cdd849983 \r \h">
              <w:r>
                <w:t>7.1.2.5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18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argPr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="CT_OMathArgPr"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ctrlPr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Sup.docx" TargetMode="External"/><Relationship Id="rId9" Type="http://schemas.openxmlformats.org/officeDocument/2006/relationships/hyperlink" Target="nary.docx" TargetMode="External"/><Relationship Id="rId10" Type="http://schemas.openxmlformats.org/officeDocument/2006/relationships/hyperlink" Target="sPre.docx" TargetMode="External"/><Relationship Id="rId11" Type="http://schemas.openxmlformats.org/officeDocument/2006/relationships/hyperlink" Target="sSubSup.docx" TargetMode="External"/><Relationship Id="rId12" Type="http://schemas.openxmlformats.org/officeDocument/2006/relationships/hyperlink" Target="acc.docx" TargetMode="External"/><Relationship Id="rId13" Type="http://schemas.openxmlformats.org/officeDocument/2006/relationships/hyperlink" Target="argPr.docx" TargetMode="External"/><Relationship Id="rId14" Type="http://schemas.openxmlformats.org/officeDocument/2006/relationships/hyperlink" Target="bar.docx" TargetMode="External"/><Relationship Id="rId15" Type="http://schemas.openxmlformats.org/officeDocument/2006/relationships/hyperlink" Target="borderBox.docx" TargetMode="External"/><Relationship Id="rId16" Type="http://schemas.openxmlformats.org/officeDocument/2006/relationships/hyperlink" Target="box.docx" TargetMode="External"/><Relationship Id="rId17" Type="http://schemas.openxmlformats.org/officeDocument/2006/relationships/hyperlink" Target="ctrlPr.docx" TargetMode="External"/><Relationship Id="rId18" Type="http://schemas.openxmlformats.org/officeDocument/2006/relationships/hyperlink" Target="Source.docx" TargetMode="External"/><Relationship Id="rId19" Type="http://schemas.openxmlformats.org/officeDocument/2006/relationships/hyperlink" Target="d.docx" TargetMode="External"/><Relationship Id="rId20" Type="http://schemas.openxmlformats.org/officeDocument/2006/relationships/hyperlink" Target="eqArr.docx" TargetMode="External"/><Relationship Id="rId21" Type="http://schemas.openxmlformats.org/officeDocument/2006/relationships/hyperlink" Target="f.docx" TargetMode="External"/><Relationship Id="rId22" Type="http://schemas.openxmlformats.org/officeDocument/2006/relationships/hyperlink" Target="func.docx" TargetMode="External"/><Relationship Id="rId23" Type="http://schemas.openxmlformats.org/officeDocument/2006/relationships/hyperlink" Target="groupChr.docx" TargetMode="External"/><Relationship Id="rId24" Type="http://schemas.openxmlformats.org/officeDocument/2006/relationships/hyperlink" Target="limLow.docx" TargetMode="External"/><Relationship Id="rId25" Type="http://schemas.openxmlformats.org/officeDocument/2006/relationships/hyperlink" Target="limUpp.docx" TargetMode="External"/><Relationship Id="rId26" Type="http://schemas.openxmlformats.org/officeDocument/2006/relationships/hyperlink" Target="m.docx" TargetMode="External"/><Relationship Id="rId27" Type="http://schemas.openxmlformats.org/officeDocument/2006/relationships/hyperlink" Target="oMath.docx" TargetMode="External"/><Relationship Id="rId28" Type="http://schemas.openxmlformats.org/officeDocument/2006/relationships/hyperlink" Target="oMathPara.docx" TargetMode="External"/><Relationship Id="rId29" Type="http://schemas.openxmlformats.org/officeDocument/2006/relationships/hyperlink" Target="phant.docx" TargetMode="External"/><Relationship Id="rId30" Type="http://schemas.openxmlformats.org/officeDocument/2006/relationships/hyperlink" Target="r.docx" TargetMode="External"/><Relationship Id="rId31" Type="http://schemas.openxmlformats.org/officeDocument/2006/relationships/hyperlink" Target="rad.docx" TargetMode="External"/><Relationship Id="rId32" Type="http://schemas.openxmlformats.org/officeDocument/2006/relationships/hyperlink" Target="sSub.docx" TargetMode="External"/><Relationship Id="rId3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