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56_1" w:id="100001"/>
      <w:bookmarkStart w:name="book631cd16b-da06-4d8a-8701-5d119151dc2d_1" w:id="100002"/>
      <w:r>
        <w:t>sPre</w:t>
      </w:r>
      <w:r>
        <w:t xml:space="preserve"> (Pre-Sub-Superscript Function)</w:t>
      </w:r>
      <w:bookmarkEnd w:id="100001"/>
    </w:p>
    <w:bookmarkEnd w:id="100002"/>
    <w:p w:rsidRDefault="00675CE4" w:rsidP="00675CE4" w:rsidR="00675CE4">
      <w:r>
        <w:t xml:space="preserve">This element specifies the Pre-Sub-Superscript function, which consists of a base </w:t>
      </w:r>
      <w:r>
        <w:t/>
      </w:r>
      <w:hyperlink r:id="rId8">
        <w:r>
          <w:rPr>
            <w:rStyle w:val="Hyperlink"/>
          </w:rPr>
          <w:t>e</w:t>
        </w:r>
      </w:hyperlink>
      <w:r>
        <w:t/>
      </w:r>
      <w:r>
        <w:t xml:space="preserve"> and a subscript and superscript placed to the left of the base, as in </w:t>
      </w:r>
      <m:oMath>
        <m:sPre>
          <m:sPrePr>
            <m:ctrlPr>
              <w:rPr>
                <w:rFonts w:hAnsi="Cambria Math" w:ascii="Cambria Math"/>
              </w:rPr>
            </m:ctrlPr>
          </m:sPrePr>
          <m:sub>
            <m:r>
              <m:rPr>
                <m:sty m:val="p"/>
              </m:rPr>
              <w:rPr>
                <w:rFonts w:hAnsi="Cambria Math" w:ascii="Cambria Math"/>
              </w:rPr>
              <m:t>1</m:t>
            </m:r>
          </m:sub>
          <m:sup>
            <m:r>
              <m:rPr>
                <m:sty m:val="p"/>
              </m:rPr>
              <w:rPr>
                <w:rFonts w:hAnsi="Cambria Math" w:ascii="Cambria Math"/>
              </w:rPr>
              <m:t>2</m:t>
            </m:r>
          </m:sup>
          <m:e>
            <m:r>
              <w:rPr>
                <w:rFonts w:hAnsi="Cambria Math" w:ascii="Cambria Math"/>
              </w:rPr>
              <m:t>A</m:t>
            </m:r>
          </m:e>
        </m:sPre>
      </m:oMath>
      <w:r>
        <w:t>. [</w:t>
      </w:r>
      <w:r>
        <w:t>Example</w:t>
      </w:r>
      <w:r>
        <w:t>: The XML that specifies this function is:</w:t>
      </w:r>
    </w:p>
    <w:p w:rsidRDefault="00675CE4" w:rsidP="00675CE4" w:rsidR="00675CE4">
      <w:pPr>
        <w:pStyle w:val="c"/>
      </w:pPr>
      <w:r>
        <w:t>&lt;m:sPre&gt;</w:t>
      </w:r>
      <w:r>
        <w:br/>
      </w:r>
      <w:r>
        <w:t xml:space="preserve">  &lt;m:sub&gt;</w:t>
      </w:r>
      <w:r>
        <w:br/>
      </w:r>
      <w:r>
        <w:t xml:space="preserve">    &lt;m:r&gt;</w:t>
      </w:r>
      <w:r>
        <w:br/>
      </w:r>
      <w:r>
        <w:t xml:space="preserve">      &lt;m:t&gt;1&lt;/m:t&gt;</w:t>
      </w:r>
      <w:r>
        <w:br/>
      </w:r>
      <w:r>
        <w:t xml:space="preserve">    &lt;/m:r&gt;</w:t>
      </w:r>
      <w:r>
        <w:br/>
      </w:r>
      <w:r>
        <w:t xml:space="preserve">  &lt;/m:sub&gt;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</w:t>
      </w:r>
      <w:r>
        <w:t>&lt;m:sup&gt;</w:t>
      </w:r>
      <w:r>
        <w:br/>
      </w:r>
      <w:r>
        <w:t xml:space="preserve">    &lt;m:r&gt;</w:t>
      </w:r>
      <w:r>
        <w:br/>
      </w:r>
      <w:r>
        <w:t xml:space="preserve">      &lt;m:t&gt;2&lt;/m:t&gt;</w:t>
      </w:r>
      <w:r>
        <w:br/>
      </w:r>
      <w:r>
        <w:t xml:space="preserve">    &lt;/m:r&gt;</w:t>
      </w:r>
      <w:r>
        <w:br/>
      </w:r>
      <w:r>
        <w:t xml:space="preserve">  &lt;/m:sup&gt;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&lt;m:e&gt;</w:t>
      </w:r>
      <w:r>
        <w:br/>
      </w:r>
      <w:r>
        <w:t xml:space="preserve">    &lt;m:r&gt;</w:t>
      </w:r>
      <w:r>
        <w:br/>
      </w:r>
      <w:r>
        <w:t xml:space="preserve">      &lt;m:t&gt;A&lt;/m:t&gt;</w:t>
      </w:r>
      <w:r>
        <w:br/>
      </w:r>
      <w:r>
        <w:t xml:space="preserve">    &lt;/m:r&gt;</w:t>
      </w:r>
      <w:r>
        <w:br/>
      </w:r>
      <w:r>
        <w:t xml:space="preserve">  &lt;/m:e&gt;</w:t>
      </w:r>
      <w:r>
        <w:br/>
      </w:r>
      <w:r>
        <w:t>&lt;/m:sPre&gt;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deg</w:t>
              </w:r>
            </w:hyperlink>
            <w:r>
              <w:t/>
            </w:r>
            <w:r>
              <w:t xml:space="preserve"> (§</w:t>
            </w:r>
            <w:fldSimple w:instr="REF book873ec57e-e541-4ccc-841d-4f5c739b185f \r \h">
              <w:r>
                <w:t>7.1.2.26</w:t>
              </w:r>
            </w:fldSimple>
            <w:r>
              <w:t xml:space="preserve">); </w:t>
            </w:r>
            <w:r>
              <w:t>del</w:t>
            </w:r>
            <w:r>
              <w:t xml:space="preserve"> (§</w:t>
            </w:r>
            <w:fldSimple w:instr="REF book94d7b275-abc5-4953-86a5-291c18ea42d5 \r \h">
              <w:r>
                <w:t>2.13.5.12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den</w:t>
              </w:r>
            </w:hyperlink>
            <w:r>
              <w:t/>
            </w:r>
            <w:r>
              <w:t xml:space="preserve"> (§</w:t>
            </w:r>
            <w:fldSimple w:instr="REF book7e140c91-c4ed-4c06-98e6-c9e25e9806a8 \r \h">
              <w:r>
                <w:t>7.1.2.28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e</w:t>
              </w:r>
            </w:hyperlink>
            <w:r>
              <w:t/>
            </w:r>
            <w:r>
              <w:t xml:space="preserve"> (§</w:t>
            </w:r>
            <w:fldSimple w:instr="REF bookc6e89c20-9562-4fc9-846d-055565c2e880 \r \h">
              <w:r>
                <w:t>7.1.2.32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fName</w:t>
              </w:r>
            </w:hyperlink>
            <w:r>
              <w:t/>
            </w:r>
            <w:r>
              <w:t xml:space="preserve"> (§</w:t>
            </w:r>
            <w:fldSimple w:instr="REF book1226c985-377d-4714-b26e-ba72429fe33b \r \h">
              <w:r>
                <w:t>7.1.2.37</w:t>
              </w:r>
            </w:fldSimple>
            <w:r>
              <w:t xml:space="preserve">); </w:t>
            </w:r>
            <w:r>
              <w:t>ins</w:t>
            </w:r>
            <w:r>
              <w:t xml:space="preserve"> (§</w:t>
            </w:r>
            <w:fldSimple w:instr="REF booka8e65dd8-67ca-4521-b305-ea92413c8a7e \r \h">
              <w:r>
                <w:t>2.13.5.20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lim</w:t>
              </w:r>
            </w:hyperlink>
            <w:r>
              <w:t/>
            </w:r>
            <w:r>
              <w:t xml:space="preserve"> (§</w:t>
            </w:r>
            <w:fldSimple w:instr="REF book3e674462-717a-4b6b-8f87-4bb18fee5a86 \r \h">
              <w:r>
                <w:t>7.1.2.52</w:t>
              </w:r>
            </w:fldSimple>
            <w:r>
              <w:t xml:space="preserve">); </w:t>
            </w:r>
            <w:r>
              <w:t>moveFrom</w:t>
            </w:r>
            <w:r>
              <w:t xml:space="preserve"> (§</w:t>
            </w:r>
            <w:fldSimple w:instr="REF bookaad03a63-410e-42a1-9d5f-65d12aadd7b6 \r \h">
              <w:r>
                <w:t>2.13.5.21</w:t>
              </w:r>
            </w:fldSimple>
            <w:r>
              <w:t xml:space="preserve">); </w:t>
            </w:r>
            <w:r>
              <w:t>moveTo</w:t>
            </w:r>
            <w:r>
              <w:t xml:space="preserve"> (§</w:t>
            </w:r>
            <w:fldSimple w:instr="REF booka41a88e2-c9fb-4667-aa94-eba90aec82c7 \r \h">
              <w:r>
                <w:t>2.13.5.26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num</w:t>
              </w:r>
            </w:hyperlink>
            <w:r>
              <w:t/>
            </w:r>
            <w:r>
              <w:t xml:space="preserve"> (§</w:t>
            </w:r>
            <w:fldSimple w:instr="REF bookff9ecf85-d91f-4df2-bfd8-0c55ba569d8d \r \h">
              <w:r>
                <w:t>7.1.2.75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oMath</w:t>
              </w:r>
            </w:hyperlink>
            <w:r>
              <w:t/>
            </w:r>
            <w:r>
              <w:t xml:space="preserve"> (§</w:t>
            </w:r>
            <w:fldSimple w:instr="REF bookd6818f5c-b913-4714-b353-240e18bfda0a \r \h">
              <w:r>
                <w:t>7.1.2.77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sub</w:t>
              </w:r>
            </w:hyperlink>
            <w:r>
              <w:t/>
            </w:r>
            <w:r>
              <w:t xml:space="preserve"> (§</w:t>
            </w:r>
            <w:fldSimple w:instr="REF bookf0b594ef-b1d6-428b-b16f-0ad6d29dccbe \r \h">
              <w:r>
                <w:t>7.1.2.112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sup</w:t>
              </w:r>
            </w:hyperlink>
            <w:r>
              <w:t/>
            </w:r>
            <w:r>
              <w:t xml:space="preserve"> (§</w:t>
            </w:r>
            <w:fldSimple w:instr="REF book1e7aea6b-6463-4f7a-81f6-1222ef9653d6 \r \h">
              <w:r>
                <w:t>7.1.2.114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e</w:t>
              </w:r>
            </w:hyperlink>
            <w:r>
              <w:t/>
            </w:r>
            <w:r>
              <w:t xml:space="preserve"> (Base (Argument))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c6e89c20-9562-4fc9-846d-055565c2e880 \r \h">
              <w:r>
                <w:t>7.1.2.32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7">
              <w:r>
                <w:rPr>
                  <w:rStyle w:val="Hyperlink"/>
                </w:rPr>
                <w:t>sPrePr</w:t>
              </w:r>
            </w:hyperlink>
            <w:r>
              <w:t/>
            </w:r>
            <w:r>
              <w:t xml:space="preserve"> (Pre-Sub-Superscript Properties)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b0c443dd-e6b8-4193-a75d-a85fc930591b \r \h">
              <w:r>
                <w:t>7.1.2.100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5">
              <w:r>
                <w:rPr>
                  <w:rStyle w:val="Hyperlink"/>
                </w:rPr>
                <w:t>sub</w:t>
              </w:r>
            </w:hyperlink>
            <w:r>
              <w:t/>
            </w:r>
            <w:r>
              <w:t xml:space="preserve"> (Subscript (Pre-Sub-Superscript))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f0b594ef-b1d6-428b-b16f-0ad6d29dccbe \r \h">
              <w:r>
                <w:t>7.1.2.112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6">
              <w:r>
                <w:rPr>
                  <w:rStyle w:val="Hyperlink"/>
                </w:rPr>
                <w:t>sup</w:t>
              </w:r>
            </w:hyperlink>
            <w:r>
              <w:t/>
            </w:r>
            <w:r>
              <w:t xml:space="preserve"> (Superscript (Superscript function))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1e7aea6b-6463-4f7a-81f6-1222ef9653d6 \r \h">
              <w:r>
                <w:t>7.1.2.114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name="CT_SPre"&gt;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7">
        <w:r>
          <w:rPr>
            <w:rStyle w:val="Hyperlink"/>
          </w:rPr>
          <w:t>sPrePr</w:t>
        </w:r>
      </w:hyperlink>
      <w:r>
        <w:t xml:space="preserve">" </w:t>
      </w:r>
      <w:hyperlink r:id="rId18">
        <w:r>
          <w:rPr>
            <w:rStyle w:val="Hyperlink"/>
          </w:rPr>
          <w:t>type</w:t>
        </w:r>
      </w:hyperlink>
      <w:r>
        <w:t>="CT_SPrePr"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5">
        <w:r>
          <w:rPr>
            <w:rStyle w:val="Hyperlink"/>
          </w:rPr>
          <w:t>sub</w:t>
        </w:r>
      </w:hyperlink>
      <w:r>
        <w:t xml:space="preserve">" </w:t>
      </w:r>
      <w:hyperlink r:id="rId18">
        <w:r>
          <w:rPr>
            <w:rStyle w:val="Hyperlink"/>
          </w:rPr>
          <w:t>type</w:t>
        </w:r>
      </w:hyperlink>
      <w:r>
        <w:t>="CT_OMathArg"/&gt;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6">
        <w:r>
          <w:rPr>
            <w:rStyle w:val="Hyperlink"/>
          </w:rPr>
          <w:t>sup</w:t>
        </w:r>
      </w:hyperlink>
      <w:r>
        <w:t xml:space="preserve">" </w:t>
      </w:r>
      <w:hyperlink r:id="rId18">
        <w:r>
          <w:rPr>
            <w:rStyle w:val="Hyperlink"/>
          </w:rPr>
          <w:t>type</w:t>
        </w:r>
      </w:hyperlink>
      <w:r>
        <w:t>="CT_OMathArg"/&gt;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8">
        <w:r>
          <w:rPr>
            <w:rStyle w:val="Hyperlink"/>
          </w:rPr>
          <w:t>e</w:t>
        </w:r>
      </w:hyperlink>
      <w:r>
        <w:t xml:space="preserve">" </w:t>
      </w:r>
      <w:hyperlink r:id="rId18">
        <w:r>
          <w:rPr>
            <w:rStyle w:val="Hyperlink"/>
          </w:rPr>
          <w:t>type</w:t>
        </w:r>
      </w:hyperlink>
      <w:r>
        <w:t>="CT_OMathArg"/&gt;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e.docx" TargetMode="External"/><Relationship Id="rId9" Type="http://schemas.openxmlformats.org/officeDocument/2006/relationships/hyperlink" Target="deg.docx" TargetMode="External"/><Relationship Id="rId10" Type="http://schemas.openxmlformats.org/officeDocument/2006/relationships/hyperlink" Target="den.docx" TargetMode="External"/><Relationship Id="rId11" Type="http://schemas.openxmlformats.org/officeDocument/2006/relationships/hyperlink" Target="fName.docx" TargetMode="External"/><Relationship Id="rId12" Type="http://schemas.openxmlformats.org/officeDocument/2006/relationships/hyperlink" Target="lim.docx" TargetMode="External"/><Relationship Id="rId13" Type="http://schemas.openxmlformats.org/officeDocument/2006/relationships/hyperlink" Target="num.docx" TargetMode="External"/><Relationship Id="rId14" Type="http://schemas.openxmlformats.org/officeDocument/2006/relationships/hyperlink" Target="oMath.docx" TargetMode="External"/><Relationship Id="rId15" Type="http://schemas.openxmlformats.org/officeDocument/2006/relationships/hyperlink" Target="sub.docx" TargetMode="External"/><Relationship Id="rId16" Type="http://schemas.openxmlformats.org/officeDocument/2006/relationships/hyperlink" Target="sup.docx" TargetMode="External"/><Relationship Id="rId17" Type="http://schemas.openxmlformats.org/officeDocument/2006/relationships/hyperlink" Target="sPrePr.docx" TargetMode="External"/><Relationship Id="rId18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