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50_1" w:id="100001"/>
      <w:bookmarkStart w:name="book24da3efa-cc98-4979-8ab2-32eb46cd2d50_1" w:id="100002"/>
      <w:r>
        <w:t>rSpRule</w:t>
      </w:r>
      <w:r>
        <w:t xml:space="preserve"> (Row Spacing Rule)</w:t>
      </w:r>
      <w:bookmarkEnd w:id="100001"/>
    </w:p>
    <w:bookmarkEnd w:id="100002"/>
    <w:p w:rsidRDefault="00675CE4" w:rsidP="00675CE4" w:rsidR="00675CE4">
      <w:r>
        <w:t xml:space="preserve">This element specifies the </w:t>
      </w:r>
      <w:hyperlink r:id="rId8">
        <w:r>
          <w:rPr>
            <w:rStyle w:val="Hyperlink"/>
          </w:rPr>
          <w:t>type</w:t>
        </w:r>
      </w:hyperlink>
      <w:r>
        <w:t xml:space="preserve"> of vertical spacing between columns in a matrix. The following table demonstrates possible values of </w:t>
      </w:r>
      <w:r>
        <w:t>rSpRule</w:t>
      </w:r>
      <w:r>
        <w:t xml:space="preserve"> along with their definitions and examples.</w:t>
      </w:r>
    </w:p>
    <w:tbl>
      <w:tblPr>
        <w:tblStyle w:val="IndentedElementTable"/>
        <w:tblW w:type="auto" w:w="0"/>
        <w:tblLayout w:type="fixed"/>
        <w:tblLook w:val="04A0" w:noVBand="1" w:noHBand="0" w:lastColumn="0" w:firstColumn="1" w:lastRow="0" w:firstRow="1"/>
      </w:tblPr>
      <w:tblGrid>
        <w:gridCol w:w="2668"/>
        <w:gridCol w:w="2670"/>
        <w:gridCol w:w="2670"/>
      </w:tblGrid>
      <w:tr w:rsidTr="002E5918" w:rsidR="00675CE4">
        <w:trPr>
          <w:cnfStyle w:val="100000000000"/>
        </w:trPr>
        <w:tc>
          <w:tcPr>
            <w:tcW w:type="dxa" w:w="2668"/>
          </w:tcPr>
          <w:p w:rsidRDefault="00675CE4" w:rsidP="002E5918" w:rsidR="00675CE4">
            <w:r>
              <w:t>Value</w:t>
            </w:r>
          </w:p>
        </w:tc>
        <w:tc>
          <w:tcPr>
            <w:tcW w:type="dxa" w:w="2670"/>
          </w:tcPr>
          <w:p w:rsidRDefault="00675CE4" w:rsidP="002E5918" w:rsidR="00675CE4">
            <w:r>
              <w:t>Line spacing between rows</w:t>
            </w:r>
          </w:p>
        </w:tc>
        <w:tc>
          <w:tcPr>
            <w:tcW w:type="dxa" w:w="2670"/>
          </w:tcPr>
          <w:p w:rsidRDefault="00675CE4" w:rsidP="002E5918" w:rsidR="00675CE4">
            <w:r>
              <w:t>Example (non-normative)</w:t>
            </w:r>
          </w:p>
        </w:tc>
      </w:tr>
      <w:tr w:rsidTr="002E5918" w:rsidR="00675CE4">
        <w:tc>
          <w:tcPr>
            <w:tcW w:type="dxa" w:w="2668"/>
          </w:tcPr>
          <w:p w:rsidRDefault="00675CE4" w:rsidP="002E5918" w:rsidR="00675CE4">
            <w:r>
              <w:t>0</w:t>
            </w:r>
          </w:p>
        </w:tc>
        <w:tc>
          <w:tcPr>
            <w:tcW w:type="dxa" w:w="2670"/>
          </w:tcPr>
          <w:p w:rsidRDefault="00675CE4" w:rsidP="002E5918" w:rsidR="00675CE4">
            <w:r>
              <w:t>Single line gap</w:t>
            </w:r>
          </w:p>
        </w:tc>
        <w:tc>
          <w:tcPr>
            <w:tcW w:type="dxa" w:w="2670"/>
          </w:tcPr>
          <w:p w:rsidRDefault="00675CE4" w:rsidP="002E5918" w:rsidR="00675CE4">
            <m:oMathPara>
              <m:oMathParaPr>
                <m:jc m:val="centerGroup"/>
              </m:oMathParaPr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cs="Arial" w:hAnsi="Cambria Math" w:asci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  <m:ctrlPr>
                        <w:rPr>
                          <w:rFonts w:hAnsi="Cambria Math" w:ascii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</m:t>
                      </m:r>
                      <m:ctrlPr>
                        <w:rPr>
                          <w:rFonts w:hAnsi="Cambria Math" w:ascii="Cambria Math"/>
                        </w:rPr>
                      </m:ctrlP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</m:t>
                      </m:r>
                      <m:ctrlPr>
                        <w:rPr>
                          <w:rFonts w:hAnsi="Cambria Math" w:ascii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4</m:t>
                      </m:r>
                      <m:ctrlPr>
                        <w:rPr>
                          <w:rFonts w:hAnsi="Cambria Math" w:ascii="Cambria Math"/>
                        </w:rPr>
                      </m:ctrlPr>
                    </m:e>
                  </m:mr>
                </m:m>
              </m:oMath>
            </m:oMathPara>
          </w:p>
        </w:tc>
      </w:tr>
      <w:tr w:rsidTr="002E5918" w:rsidR="00675CE4">
        <w:tc>
          <w:tcPr>
            <w:tcW w:type="dxa" w:w="2668"/>
          </w:tcPr>
          <w:p w:rsidRDefault="00675CE4" w:rsidP="002E5918" w:rsidR="00675CE4">
            <w:r>
              <w:t>1</w:t>
            </w:r>
          </w:p>
        </w:tc>
        <w:tc>
          <w:tcPr>
            <w:tcW w:type="dxa" w:w="2670"/>
          </w:tcPr>
          <w:p w:rsidRDefault="00675CE4" w:rsidP="002E5918" w:rsidR="00675CE4">
            <w:r>
              <w:t>1.5 line gap</w:t>
            </w:r>
          </w:p>
        </w:tc>
        <w:tc>
          <w:tcPr>
            <w:tcW w:type="dxa" w:w="2670"/>
          </w:tcPr>
          <w:p w:rsidRDefault="00675CE4" w:rsidP="002E5918" w:rsidR="00675CE4">
            <m:oMathPara>
              <m:oMathParaPr>
                <m:jc m:val="centerGroup"/>
              </m:oMathParaPr>
              <m:oMath>
                <m:m>
                  <m:mPr>
                    <m:rSpRule m:val="1"/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hAnsi="Cambria Math" w:asci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4</m:t>
                      </m:r>
                    </m:e>
                  </m:mr>
                </m:m>
              </m:oMath>
            </m:oMathPara>
          </w:p>
        </w:tc>
      </w:tr>
      <w:tr w:rsidTr="002E5918" w:rsidR="00675CE4">
        <w:tc>
          <w:tcPr>
            <w:tcW w:type="dxa" w:w="2668"/>
          </w:tcPr>
          <w:p w:rsidRDefault="00675CE4" w:rsidP="002E5918" w:rsidR="00675CE4">
            <w:r>
              <w:t>2</w:t>
            </w:r>
          </w:p>
        </w:tc>
        <w:tc>
          <w:tcPr>
            <w:tcW w:type="dxa" w:w="2670"/>
          </w:tcPr>
          <w:p w:rsidRDefault="00675CE4" w:rsidP="002E5918" w:rsidR="00675CE4">
            <w:r>
              <w:t>2 line gap</w:t>
            </w:r>
          </w:p>
        </w:tc>
        <w:tc>
          <w:tcPr>
            <w:tcW w:type="dxa" w:w="2670"/>
          </w:tcPr>
          <w:p w:rsidRDefault="00675CE4" w:rsidP="002E5918" w:rsidR="00675CE4">
            <m:oMathPara>
              <m:oMathParaPr>
                <m:jc m:val="centerGroup"/>
              </m:oMathParaPr>
              <m:oMath>
                <m:m>
                  <m:mPr>
                    <m:rSpRule m:val="2"/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hAnsi="Cambria Math" w:asci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4</m:t>
                      </m:r>
                    </m:e>
                  </m:mr>
                </m:m>
              </m:oMath>
            </m:oMathPara>
          </w:p>
        </w:tc>
      </w:tr>
      <w:tr w:rsidTr="002E5918" w:rsidR="00675CE4">
        <w:tc>
          <w:tcPr>
            <w:tcW w:type="dxa" w:w="2668"/>
          </w:tcPr>
          <w:p w:rsidRDefault="00675CE4" w:rsidP="002E5918" w:rsidR="00675CE4">
            <w:r>
              <w:t>3</w:t>
            </w:r>
          </w:p>
        </w:tc>
        <w:tc>
          <w:tcPr>
            <w:tcW w:type="dxa" w:w="2670"/>
          </w:tcPr>
          <w:p w:rsidRDefault="00675CE4" w:rsidP="002E5918" w:rsidR="00675CE4">
            <w:r>
              <w:t>Exactly (rely on value of rGp, measured in points)</w:t>
            </w:r>
          </w:p>
        </w:tc>
        <w:tc>
          <w:tcPr>
            <w:tcW w:type="dxa" w:w="2670"/>
          </w:tcPr>
          <w:p w:rsidRDefault="00675CE4" w:rsidP="002E5918" w:rsidR="00675CE4">
            <m:oMathPara>
              <m:oMathParaPr>
                <m:jc m:val="centerGroup"/>
              </m:oMathParaPr>
              <m:oMath>
                <m:m>
                  <m:mPr>
                    <m:rSpRule m:val="3"/>
                    <m:rSp m:val="360"/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hAnsi="Cambria Math" w:asci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4</m:t>
                      </m:r>
                    </m:e>
                  </m:mr>
                </m:m>
              </m:oMath>
            </m:oMathPara>
          </w:p>
        </w:tc>
      </w:tr>
      <w:tr w:rsidTr="002E5918" w:rsidR="00675CE4">
        <w:tc>
          <w:tcPr>
            <w:tcW w:type="dxa" w:w="2668"/>
          </w:tcPr>
          <w:p w:rsidRDefault="00675CE4" w:rsidP="002E5918" w:rsidR="00675CE4">
            <w:r>
              <w:t>4</w:t>
            </w:r>
          </w:p>
        </w:tc>
        <w:tc>
          <w:tcPr>
            <w:tcW w:type="dxa" w:w="2670"/>
          </w:tcPr>
          <w:p w:rsidRDefault="00675CE4" w:rsidP="002E5918" w:rsidR="00675CE4">
            <w:r>
              <w:t>Multiple (rely on value of rGp, measured in lines)</w:t>
            </w:r>
          </w:p>
        </w:tc>
        <w:tc>
          <w:tcPr>
            <w:tcW w:type="dxa" w:w="2670"/>
          </w:tcPr>
          <w:p w:rsidRDefault="00675CE4" w:rsidP="002E5918" w:rsidR="00675CE4">
            <m:oMathPara>
              <m:oMathParaPr>
                <m:jc m:val="centerGroup"/>
              </m:oMathParaPr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hAnsi="Cambria Math" w:asci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4</m:t>
                      </m:r>
                    </m:e>
                  </m:mr>
                </m:m>
              </m:oMath>
            </m:oMathPara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eqArrPr</w:t>
              </w:r>
            </w:hyperlink>
            <w:r>
              <w:t/>
            </w:r>
            <w:r>
              <w:t xml:space="preserve"> (§</w:t>
            </w:r>
            <w:fldSimple w:instr="REF book46a2f31c-ec7d-4394-8f85-7d9fb3e76ea2 \r \h">
              <w:r>
                <w:t>7.1.2.35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mPr</w:t>
              </w:r>
            </w:hyperlink>
            <w:r>
              <w:t/>
            </w:r>
            <w:r>
              <w:t xml:space="preserve"> (§</w:t>
            </w:r>
            <w:fldSimple w:instr="REF book96198364-f8c9-40ad-9869-e2e694dc4ef9 \r \h">
              <w:r>
                <w:t>7.1.2.68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the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of spacing between rows and/or columns. Possible values are 0, 1, 2, 3, or 4, whose definitions are contained in the following table:</w:t>
            </w:r>
          </w:p>
          <w:p w:rsidRDefault="00675CE4" w:rsidP="002E5918" w:rsidR="00675CE4"/>
          <w:tbl>
            <w:tblPr>
              <w:tblStyle w:val="ElementTable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2668"/>
              <w:gridCol w:w="2670"/>
              <w:gridCol w:w="2670"/>
            </w:tblGrid>
            <w:tr w:rsidTr="002E5918" w:rsidR="00675CE4">
              <w:trPr>
                <w:cnfStyle w:val="100000000000"/>
              </w:trPr>
              <w:tc>
                <w:tcPr>
                  <w:tcW w:type="dxa" w:w="2668"/>
                </w:tcPr>
                <w:p w:rsidRDefault="00675CE4" w:rsidP="002E5918" w:rsidR="00675CE4">
                  <w:r>
                    <w:t>Value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w:r>
                    <w:t>Column/Row Gap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w:r>
                    <w:t>Example</w:t>
                  </w:r>
                </w:p>
              </w:tc>
            </w:tr>
            <w:tr w:rsidTr="002E5918" w:rsidR="00675CE4">
              <w:tc>
                <w:tcPr>
                  <w:tcW w:type="dxa" w:w="2668"/>
                </w:tcPr>
                <w:p w:rsidRDefault="00675CE4" w:rsidP="002E5918" w:rsidR="00675CE4">
                  <w:r>
                    <w:t>0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w:r>
                    <w:t>Single spacing gap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m:oMathPara>
                    <m:oMathParaPr>
                      <m:jc m:val="centerGroup"/>
                    </m:oMathParaPr>
                    <m:oMath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cs="Arial" w:hAnsi="Cambria Math" w:asci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hAnsi="Cambria Math" w:ascii="Cambria Math"/>
                              </w:rPr>
                              <m:t>1</m:t>
                            </m:r>
                            <m:ctrlPr>
                              <w:rPr>
                                <w:rFonts w:hAnsi="Cambria Math" w:ascii="Cambria Math"/>
                              </w:rPr>
                            </m:ctrlP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hAnsi="Cambria Math" w:ascii="Cambria Math"/>
                              </w:rPr>
                              <m:t>2</m:t>
                            </m:r>
                            <m:ctrlPr>
                              <w:rPr>
                                <w:rFonts w:hAnsi="Cambria Math" w:ascii="Cambria Math"/>
                              </w:rPr>
                            </m:ctrlPr>
                          </m:e>
                        </m:mr>
                      </m:m>
                    </m:oMath>
                  </m:oMathPara>
                </w:p>
              </w:tc>
            </w:tr>
            <w:tr w:rsidTr="002E5918" w:rsidR="00675CE4">
              <w:tc>
                <w:tcPr>
                  <w:tcW w:type="dxa" w:w="2668"/>
                </w:tcPr>
                <w:p w:rsidRDefault="00675CE4" w:rsidP="002E5918" w:rsidR="00675CE4">
                  <w:r>
                    <w:t>1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w:r>
                    <w:t>1.5 spacing gap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m:oMathPara>
                    <m:oMathParaPr>
                      <m:jc m:val="centerGroup"/>
                    </m:oMathParaPr>
                    <m:oMath>
                      <m:m>
                        <m:mPr>
                          <m:cGpRule m:val="1"/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cs="Arial" w:hAnsi="Cambria Math" w:asci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hAnsi="Cambria Math" w:ascii="Cambria Math"/>
                              </w:rPr>
                              <m:t>1</m:t>
                            </m:r>
                            <m:ctrlPr>
                              <w:rPr>
                                <w:rFonts w:hAnsi="Cambria Math" w:ascii="Cambria Math"/>
                              </w:rPr>
                            </m:ctrlP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hAnsi="Cambria Math" w:ascii="Cambria Math"/>
                              </w:rPr>
                              <m:t>2</m:t>
                            </m:r>
                            <m:ctrlPr>
                              <w:rPr>
                                <w:rFonts w:hAnsi="Cambria Math" w:ascii="Cambria Math"/>
                              </w:rPr>
                            </m:ctrlPr>
                          </m:e>
                        </m:mr>
                      </m:m>
                    </m:oMath>
                  </m:oMathPara>
                </w:p>
              </w:tc>
            </w:tr>
            <w:tr w:rsidTr="002E5918" w:rsidR="00675CE4">
              <w:tc>
                <w:tcPr>
                  <w:tcW w:type="dxa" w:w="2668"/>
                </w:tcPr>
                <w:p w:rsidRDefault="00675CE4" w:rsidP="002E5918" w:rsidR="00675CE4">
                  <w:r>
                    <w:t>2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w:r>
                    <w:t>2 spacing gap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m:oMathPara>
                    <m:oMathParaPr>
                      <m:jc m:val="centerGroup"/>
                    </m:oMathParaPr>
                    <m:oMath>
                      <m:m>
                        <m:mPr>
                          <m:cGpRule m:val="2"/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cs="Arial" w:hAnsi="Cambria Math" w:asci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hAnsi="Cambria Math" w:ascii="Cambria Math"/>
                              </w:rPr>
                              <m:t>1</m:t>
                            </m:r>
                            <m:ctrlPr>
                              <w:rPr>
                                <w:rFonts w:hAnsi="Cambria Math" w:ascii="Cambria Math"/>
                              </w:rPr>
                            </m:ctrlP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hAnsi="Cambria Math" w:ascii="Cambria Math"/>
                              </w:rPr>
                              <m:t>2</m:t>
                            </m:r>
                            <m:ctrlPr>
                              <w:rPr>
                                <w:rFonts w:hAnsi="Cambria Math" w:ascii="Cambria Math"/>
                              </w:rPr>
                            </m:ctrlPr>
                          </m:e>
                        </m:mr>
                      </m:m>
                    </m:oMath>
                  </m:oMathPara>
                </w:p>
              </w:tc>
            </w:tr>
            <w:tr w:rsidTr="002E5918" w:rsidR="00675CE4">
              <w:tc>
                <w:tcPr>
                  <w:tcW w:type="dxa" w:w="2668"/>
                </w:tcPr>
                <w:p w:rsidRDefault="00675CE4" w:rsidP="002E5918" w:rsidR="00675CE4">
                  <w:r>
                    <w:t>3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w:r>
                    <w:t>Exactly</w:t>
                  </w:r>
                  <w:r>
                    <w:br/>
                  </w:r>
                  <w:r>
                    <w:t xml:space="preserve">(for columns, rely on value of </w:t>
                  </w:r>
                  <w:hyperlink r:id="rId11">
                    <w:r>
                      <w:rPr>
                        <w:rStyle w:val="Hyperlink"/>
                      </w:rPr>
                      <w:t>cGp</w:t>
                    </w:r>
                  </w:hyperlink>
                  <w:r>
                    <w:t>, measured in points)</w:t>
                  </w:r>
                </w:p>
                <w:p w:rsidRDefault="00675CE4" w:rsidP="002E5918" w:rsidR="00675CE4">
                  <w:r>
                    <w:t xml:space="preserve">(for rows, rely on value of </w:t>
                  </w:r>
                  <w:hyperlink r:id="rId12">
                    <w:r>
                      <w:rPr>
                        <w:rStyle w:val="Hyperlink"/>
                      </w:rPr>
                      <w:t>rSp</w:t>
                    </w:r>
                  </w:hyperlink>
                  <w:r>
                    <w:t>, measured in points)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m:oMathPara>
                    <m:oMathParaPr>
                      <m:jc m:val="centerGroup"/>
                    </m:oMathParaPr>
                    <m:oMath>
                      <m:m>
                        <m:mPr>
                          <m:cGpRule m:val="3"/>
                          <m:cGp m:val="360"/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cs="Arial" w:hAnsi="Cambria Math" w:asci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hAnsi="Cambria Math" w:ascii="Cambria Math"/>
                              </w:rPr>
                              <m:t>1</m:t>
                            </m:r>
                            <m:ctrlPr>
                              <w:rPr>
                                <w:rFonts w:hAnsi="Cambria Math" w:ascii="Cambria Math"/>
                              </w:rPr>
                            </m:ctrlP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hAnsi="Cambria Math" w:ascii="Cambria Math"/>
                              </w:rPr>
                              <m:t>2</m:t>
                            </m:r>
                            <m:ctrlPr>
                              <w:rPr>
                                <w:rFonts w:hAnsi="Cambria Math" w:ascii="Cambria Math"/>
                              </w:rPr>
                            </m:ctrlPr>
                          </m:e>
                        </m:mr>
                      </m:m>
                    </m:oMath>
                  </m:oMathPara>
                </w:p>
              </w:tc>
            </w:tr>
            <w:tr w:rsidTr="002E5918" w:rsidR="00675CE4">
              <w:tc>
                <w:tcPr>
                  <w:tcW w:type="dxa" w:w="2668"/>
                </w:tcPr>
                <w:p w:rsidRDefault="00675CE4" w:rsidP="002E5918" w:rsidR="00675CE4">
                  <w:r>
                    <w:t>4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w:r>
                    <w:t>Multiple</w:t>
                  </w:r>
                </w:p>
                <w:p w:rsidRDefault="00675CE4" w:rsidP="002E5918" w:rsidR="00675CE4">
                  <w:r>
                    <w:t xml:space="preserve">(for columns, rely on value of </w:t>
                  </w:r>
                  <w:hyperlink r:id="rId11">
                    <w:r>
                      <w:rPr>
                        <w:rStyle w:val="Hyperlink"/>
                      </w:rPr>
                      <w:t>cGp</w:t>
                    </w:r>
                  </w:hyperlink>
                  <w:r>
                    <w:t>, measured in lines)</w:t>
                  </w:r>
                </w:p>
                <w:p w:rsidRDefault="00675CE4" w:rsidP="002E5918" w:rsidR="00675CE4">
                  <w:r>
                    <w:t xml:space="preserve">(for rows, rely on value of </w:t>
                  </w:r>
                  <w:hyperlink r:id="rId12">
                    <w:r>
                      <w:rPr>
                        <w:rStyle w:val="Hyperlink"/>
                      </w:rPr>
                      <w:t>rSp</w:t>
                    </w:r>
                  </w:hyperlink>
                  <w:r>
                    <w:t>, measured in lines)</w:t>
                  </w:r>
                </w:p>
              </w:tc>
              <w:tc>
                <w:tcPr>
                  <w:tcW w:type="dxa" w:w="2670"/>
                </w:tcPr>
                <w:p w:rsidRDefault="00675CE4" w:rsidP="002E5918" w:rsidR="00675CE4">
                  <m:oMathPara>
                    <m:oMathParaPr>
                      <m:jc m:val="centerGroup"/>
                    </m:oMathParaPr>
                    <m:oMath>
                      <m:m>
                        <m:mPr>
                          <m:cGpRule m:val="4"/>
                          <m:cGp m:val="2"/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cs="Arial" w:hAnsi="Cambria Math" w:asci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hAnsi="Cambria Math" w:ascii="Cambria Math"/>
                              </w:rPr>
                              <m:t>1</m:t>
                            </m:r>
                            <m:ctrlPr>
                              <w:rPr>
                                <w:rFonts w:hAnsi="Cambria Math" w:ascii="Cambria Math"/>
                              </w:rPr>
                            </m:ctrlPr>
                          </m:e>
                          <m:e>
                            <m:r>
                              <m:rPr>
                                <m:sty m:val="p"/>
                              </m:rPr>
                              <w:rPr>
                                <w:rFonts w:hAnsi="Cambria Math" w:ascii="Cambria Math"/>
                              </w:rPr>
                              <m:t>2</m:t>
                            </m:r>
                            <m:ctrlPr>
                              <w:rPr>
                                <w:rFonts w:hAnsi="Cambria Math" w:ascii="Cambria Math"/>
                              </w:rPr>
                            </m:ctrlPr>
                          </m:e>
                        </m:mr>
                      </m:m>
                    </m:oMath>
                  </m:oMathPara>
                </w:p>
              </w:tc>
            </w:tr>
          </w:tbl>
          <w:p w:rsidRDefault="00675CE4" w:rsidP="002E5918" w:rsidR="00675CE4"/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ST_SpacingRule</w:t>
              </w:r>
            </w:hyperlink>
            <w:r>
              <w:t/>
            </w:r>
            <w:r>
              <w:t xml:space="preserve"> simple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37380021-fb4f-4d77-95cd-4e80699c69a4 \r \h">
              <w:r>
                <w:t>7.1.3.12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name="CT_SpacingRule"&gt;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8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ST_SpacingRule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eqArrPr.docx" TargetMode="External"/><Relationship Id="rId10" Type="http://schemas.openxmlformats.org/officeDocument/2006/relationships/hyperlink" Target="mPr.docx" TargetMode="External"/><Relationship Id="rId11" Type="http://schemas.openxmlformats.org/officeDocument/2006/relationships/hyperlink" Target="cGp.docx" TargetMode="External"/><Relationship Id="rId12" Type="http://schemas.openxmlformats.org/officeDocument/2006/relationships/hyperlink" Target="rSp.docx" TargetMode="External"/><Relationship Id="rId13" Type="http://schemas.openxmlformats.org/officeDocument/2006/relationships/hyperlink" Target="ST_SpacingRul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