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4_1" w:id="100001"/>
      <w:bookmarkStart w:name="book54353329-409b-4105-961d-1b03b09b0030_1" w:id="100002"/>
      <w:r>
        <w:t>null</w:t>
      </w:r>
      <w:r>
        <w:t xml:space="preserve"> (Null)</w:t>
      </w:r>
      <w:bookmarkEnd w:id="100001"/>
    </w:p>
    <w:bookmarkEnd w:id="100002"/>
    <w:p w:rsidRDefault="00675CE4" w:rsidP="00675CE4" w:rsidR="00675CE4">
      <w:r>
        <w:t xml:space="preserve">This element specifies a null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&lt;complexType name="CT_Null"/&gt;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