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10_1" w:id="100001"/>
      <w:bookmarkStart w:name="book6d2e8d11-98e6-41e2-b4a3-f93f0148ca88_1" w:id="100002"/>
      <w:r>
        <w:t>limLoc</w:t>
      </w:r>
      <w:r>
        <w:t xml:space="preserve"> (n-ary Limit Location)</w:t>
      </w:r>
      <w:bookmarkEnd w:id="100001"/>
    </w:p>
    <w:bookmarkEnd w:id="100002"/>
    <w:p w:rsidRDefault="00675CE4" w:rsidP="00675CE4" w:rsidR="00675CE4">
      <w:r>
        <w:t>This element specifies the location of limits in n-ary operators. Limits can be either centered above and below the n-ary operator, or positioned just to the right of the operator, as in:</w:t>
      </w:r>
    </w:p>
    <w:p w:rsidRDefault="00675CE4" w:rsidP="00675CE4" w:rsidR="00675CE4">
      <m:oMathPara>
        <m:oMathParaPr>
          <m:jc m:val="centerGroup"/>
        </m:oMathParaPr>
        <m:oMath>
          <m:nary>
            <m:naryPr>
              <m:chr m:val="∑"/>
              <m:grow m:val="1"/>
              <m:ctrlPr>
                <w:rPr>
                  <w:rFonts w:hAnsi="Cambria Math" w:ascii="Cambria Math"/>
                </w:rPr>
              </m:ctrlPr>
            </m:naryPr>
            <m:sub>
              <m:argPr>
                <m:argSz m:val="1"/>
              </m:argPr>
              <m:r>
                <w:rPr>
                  <w:rFonts w:hAnsi="Cambria Math" w:ascii="Cambria Math"/>
                </w:rPr>
                <m:t>i</m:t>
              </m:r>
              <m:r>
                <m:rPr>
                  <m:sty m:val="p"/>
                </m:rPr>
                <w:rPr>
                  <w:rFonts w:hAnsi="Cambria Math" w:ascii="Cambria Math"/>
                </w:rPr>
                <m:t>=0</m:t>
              </m:r>
            </m:sub>
            <m:sup>
              <m:argPr>
                <m:argSz m:val="1"/>
              </m:argPr>
              <m:r>
                <w:rPr>
                  <w:rFonts w:hAnsi="Cambria Math" w:ascii="Cambria Math"/>
                </w:rPr>
                <m:t>n</m:t>
              </m:r>
            </m:sup>
            <m:e>
              <m:sSub>
                <m:sSubPr>
                  <m:ctrlPr>
                    <w:rPr>
                      <w:rFonts w:hAnsi="Cambria Math" w:ascii="Cambria Math"/>
                    </w:rPr>
                  </m:ctrlPr>
                </m:sSubPr>
                <m:e>
                  <m:r>
                    <w:rPr>
                      <w:rFonts w:hAnsi="Cambria Math" w:ascii="Cambria Math"/>
                    </w:rPr>
                    <m:t>x</m:t>
                  </m:r>
                </m:e>
                <m:sub>
                  <m:r>
                    <w:rPr>
                      <w:rFonts w:hAnsi="Cambria Math" w:ascii="Cambria Math"/>
                    </w:rPr>
                    <m:t>n</m:t>
                  </m:r>
                </m:sub>
              </m:sSub>
            </m:e>
          </m:nary>
          <m:nary>
            <m:naryPr>
              <m:chr m:val="∑"/>
              <m:limLoc m:val="subSup"/>
              <m:grow m:val="1"/>
              <m:ctrlPr>
                <w:rPr>
                  <w:rFonts w:hAnsi="Cambria Math" w:ascii="Cambria Math"/>
                </w:rPr>
              </m:ctrlPr>
            </m:naryPr>
            <m:sub>
              <m:argPr>
                <m:argSz m:val="1"/>
              </m:argPr>
              <m:r>
                <w:rPr>
                  <w:rFonts w:hAnsi="Cambria Math" w:ascii="Cambria Math"/>
                </w:rPr>
                <m:t>i</m:t>
              </m:r>
              <m:r>
                <m:rPr>
                  <m:sty m:val="p"/>
                </m:rPr>
                <w:rPr>
                  <w:rFonts w:hAnsi="Cambria Math" w:ascii="Cambria Math"/>
                </w:rPr>
                <m:t>=0</m:t>
              </m:r>
            </m:sub>
            <m:sup>
              <m:argPr>
                <m:argSz m:val="1"/>
              </m:argPr>
              <m:r>
                <w:rPr>
                  <w:rFonts w:hAnsi="Cambria Math" w:ascii="Cambria Math"/>
                </w:rPr>
                <m:t>n</m:t>
              </m:r>
            </m:sup>
            <m:e>
              <m:sSub>
                <m:sSubPr>
                  <m:ctrlPr>
                    <w:rPr>
                      <w:rFonts w:hAnsi="Cambria Math" w:ascii="Cambria Math"/>
                    </w:rPr>
                  </m:ctrlPr>
                </m:sSubPr>
                <m:e>
                  <m:r>
                    <w:rPr>
                      <w:rFonts w:hAnsi="Cambria Math" w:ascii="Cambria Math"/>
                    </w:rPr>
                    <m:t>x</m:t>
                  </m:r>
                </m:e>
                <m:sub>
                  <m:r>
                    <w:rPr>
                      <w:rFonts w:hAnsi="Cambria Math" w:ascii="Cambria Math"/>
                    </w:rPr>
                    <m:t>n</m:t>
                  </m:r>
                </m:sub>
              </m:sSub>
            </m:e>
          </m:nary>
        </m:oMath>
      </m:oMathPara>
    </w:p>
    <w:p w:rsidRDefault="00675CE4" w:rsidP="00675CE4" w:rsidR="00675CE4">
      <w:r>
        <w:t xml:space="preserve">When this element is omitted, the default location is </w:t>
      </w:r>
      <w:r>
        <w:t>undOvr</w:t>
      </w:r>
      <w:r>
        <w:t>.</w:t>
      </w:r>
      <w:r>
        <w:t xml:space="preserve"> [</w:t>
      </w:r>
      <w:r>
        <w:t>Example</w:t>
      </w:r>
      <w:r>
        <w:t xml:space="preserve">: The XML representing this </w:t>
      </w:r>
      <w:hyperlink r:id="rId8">
        <w:r>
          <w:rPr>
            <w:rStyle w:val="Hyperlink"/>
          </w:rPr>
          <w:t>property</w:t>
        </w:r>
      </w:hyperlink>
      <w:r>
        <w:t xml:space="preserve"> in use is: </w:t>
      </w:r>
    </w:p>
    <w:p w:rsidRDefault="00675CE4" w:rsidP="00675CE4" w:rsidR="00675CE4">
      <w:pPr>
        <w:pStyle w:val="c"/>
      </w:pPr>
      <w:r>
        <w:t>&lt;m:naryPr&gt;</w:t>
      </w:r>
      <w:r>
        <w:br/>
      </w:r>
      <w:r>
        <w:t xml:space="preserve">  &lt;m:chr  m:val="&amp;#8721;"/&gt;</w:t>
      </w:r>
      <w:r>
        <w:br/>
      </w:r>
      <w:r>
        <w:t xml:space="preserve">  &lt;m:limLoc m:val="subSup"/&gt;</w:t>
      </w:r>
      <w:r>
        <w:br/>
      </w:r>
      <w:r>
        <w:t xml:space="preserve">  &lt;m:grow m:val="on"/&gt;</w:t>
      </w:r>
      <w:r>
        <w:br/>
      </w:r>
      <w:r>
        <w:t>&lt;/m:naryPr&gt;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naryPr</w:t>
              </w:r>
            </w:hyperlink>
            <w:r>
              <w:t/>
            </w:r>
            <w:r>
              <w:t xml:space="preserve"> (§</w:t>
            </w:r>
            <w:fldSimple w:instr="REF book1e6552d6-42c0-4df6-a3ca-40fa450e01b4 \r \h">
              <w:r>
                <w:t>7.1.2.72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Specifies the default location of limits on an integral. Possible values are </w:t>
            </w:r>
            <w:r>
              <w:t>subSup</w:t>
            </w:r>
            <w:r>
              <w:t xml:space="preserve"> and </w:t>
            </w:r>
            <w:r>
              <w:t>undOvr</w:t>
            </w:r>
            <w:r>
              <w:t>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ST_LimLoc</w:t>
              </w:r>
            </w:hyperlink>
            <w:r>
              <w:t/>
            </w:r>
            <w:r>
              <w:t xml:space="preserve"> simple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de541f3-5a11-4adb-932d-c8525e658779 \r \h">
              <w:r>
                <w:t>7.1.3.8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name="CT_LimLoc"&gt;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10">
        <w:r>
          <w:rPr>
            <w:rStyle w:val="Hyperlink"/>
          </w:rPr>
          <w:t>ST_LimLoc</w:t>
        </w:r>
      </w:hyperlink>
      <w:r>
        <w:t>" use="required"/&gt;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operty.docx" TargetMode="External"/><Relationship Id="rId9" Type="http://schemas.openxmlformats.org/officeDocument/2006/relationships/hyperlink" Target="naryPr.docx" TargetMode="External"/><Relationship Id="rId10" Type="http://schemas.openxmlformats.org/officeDocument/2006/relationships/hyperlink" Target="ST_LimLoc.docx" TargetMode="External"/><Relationship Id="rId11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