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06_1" w:id="100001"/>
      <w:bookmarkStart w:name="book028b3269-01b8-45b1-8e85-e0296aad2f80_1" w:id="100002"/>
      <w:r>
        <w:t>intLim</w:t>
      </w:r>
      <w:r>
        <w:t xml:space="preserve"> (Integral Limit Locations)</w:t>
      </w:r>
      <w:bookmarkEnd w:id="100001"/>
    </w:p>
    <w:bookmarkEnd w:id="100002"/>
    <w:p w:rsidRDefault="00675CE4" w:rsidP="00675CE4" w:rsidR="00675CE4">
      <w:r>
        <w:t>This element specifies the document setting for the default placement of integral limits, when converted from a linear format to a two-dimensional output. Limits can be either centered above and below the integral, or positioned just to the right of the operator, as in:</w:t>
      </w:r>
    </w:p>
    <w:p w:rsidRDefault="00675CE4" w:rsidP="00675CE4" w:rsidR="00675CE4">
      <m:oMathPara>
        <m:oMathParaPr>
          <m:jc m:val="centerGroup"/>
        </m:oMathParaPr>
        <m:oMath>
          <m:nary>
            <m:naryPr>
              <m:limLoc m:val="undOvr"/>
              <m:ctrlPr>
                <w:rPr>
                  <w:rFonts w:hAnsi="Cambria Math" w:ascii="Cambria Math"/>
                </w:rPr>
              </m:ctrlPr>
            </m:naryPr>
            <m:sub>
              <m:r>
                <w:rPr>
                  <w:rFonts w:hAnsi="Cambria Math" w:ascii="Cambria Math"/>
                </w:rPr>
                <m:t>a</m:t>
              </m:r>
            </m:sub>
            <m:sup>
              <m:r>
                <w:rPr>
                  <w:rFonts w:hAnsi="Cambria Math" w:ascii="Cambria Math"/>
                </w:rPr>
                <m:t>b</m:t>
              </m:r>
            </m:sup>
            <m:e>
              <m:r>
                <w:rPr>
                  <w:rFonts w:hAnsi="Cambria Math" w:ascii="Cambria Math"/>
                </w:rPr>
                <m:t>x</m:t>
              </m:r>
              <m:box>
                <m:boxPr>
                  <m:diff m:val="1"/>
                  <m:ctrlPr>
                    <w:rPr>
                      <w:rFonts w:hAnsi="Cambria Math" w:ascii="Cambria Math"/>
                    </w:rPr>
                  </m:ctrlPr>
                </m:boxPr>
                <m:e>
                  <m:r>
                    <w:rPr>
                      <w:rFonts w:hAnsi="Cambria Math" w:ascii="Cambria Math"/>
                    </w:rPr>
                    <m:t>dx</m:t>
                  </m:r>
                </m:e>
              </m:box>
            </m:e>
          </m:nary>
          <m:nary>
            <m:naryPr>
              <m:limLoc m:val="subSup"/>
              <m:ctrlPr>
                <w:rPr>
                  <w:rFonts w:hAnsi="Cambria Math" w:ascii="Cambria Math"/>
                </w:rPr>
              </m:ctrlPr>
            </m:naryPr>
            <m:sub>
              <m:r>
                <w:rPr>
                  <w:rFonts w:hAnsi="Cambria Math" w:ascii="Cambria Math"/>
                </w:rPr>
                <m:t>a</m:t>
              </m:r>
            </m:sub>
            <m:sup>
              <m:r>
                <w:rPr>
                  <w:rFonts w:hAnsi="Cambria Math" w:ascii="Cambria Math"/>
                </w:rPr>
                <m:t>b</m:t>
              </m:r>
            </m:sup>
            <m:e>
              <m:r>
                <w:rPr>
                  <w:rFonts w:hAnsi="Cambria Math" w:ascii="Cambria Math"/>
                </w:rPr>
                <m:t>x</m:t>
              </m:r>
              <m:box>
                <m:boxPr>
                  <m:diff m:val="1"/>
                  <m:ctrlPr>
                    <w:rPr>
                      <w:rFonts w:hAnsi="Cambria Math" w:ascii="Cambria Math"/>
                    </w:rPr>
                  </m:ctrlPr>
                </m:boxPr>
                <m:e>
                  <m:r>
                    <w:rPr>
                      <w:rFonts w:hAnsi="Cambria Math" w:ascii="Cambria Math"/>
                    </w:rPr>
                    <m:t>dx</m:t>
                  </m:r>
                </m:e>
              </m:box>
            </m:e>
          </m:nary>
          <m:r>
            <w:br/>
          </m:r>
        </m:oMath>
      </m:oMathPara>
      <w:r>
        <w:t xml:space="preserve">When this integral object is written linearly, as </w:t>
      </w:r>
      <m:oMath>
        <m:r>
          <m:rPr>
            <m:sty m:val="p"/>
          </m:rPr>
          <w:rPr>
            <w:rFonts w:hAnsi="Cambria Math" w:ascii="Cambria Math"/>
          </w:rPr>
          <m:t>∫_</m:t>
        </m:r>
        <m:r>
          <w:rPr>
            <w:rFonts w:hAnsi="Cambria Math" w:ascii="Cambria Math"/>
          </w:rPr>
          <m:t>a</m:t>
        </m:r>
        <m:r>
          <m:rPr>
            <m:sty m:val="p"/>
          </m:rPr>
          <w:rPr>
            <w:rFonts w:hAnsi="Cambria Math" w:ascii="Cambria Math"/>
          </w:rPr>
          <m:t>^</m:t>
        </m:r>
        <m:r>
          <w:rPr>
            <w:rFonts w:hAnsi="Cambria Math" w:ascii="Cambria Math"/>
          </w:rPr>
          <m:t>b</m:t>
        </m:r>
      </m:oMath>
      <w:r>
        <w:t xml:space="preserve">, the placement of limits is ambiguous. </w:t>
      </w:r>
      <w:r>
        <w:t>intLim</w:t>
      </w:r>
      <w:r>
        <w:t xml:space="preserve"> is a document-level </w:t>
      </w:r>
      <w:hyperlink r:id="rId8">
        <w:r>
          <w:rPr>
            <w:rStyle w:val="Hyperlink"/>
          </w:rPr>
          <w:t>property</w:t>
        </w:r>
      </w:hyperlink>
      <w:r>
        <w:t xml:space="preserve"> that specifies the default positioning. When this element is omitted, the default placement of integral limits is </w:t>
      </w:r>
      <w:r>
        <w:t>subSup</w:t>
      </w:r>
      <w:r>
        <w:t xml:space="preserve"> (that is, the location of subscripts and superscripts, or just to the right of the base or operator).</w:t>
      </w:r>
    </w:p>
    <w:p w:rsidRDefault="00675CE4" w:rsidP="00675CE4" w:rsidR="00675CE4">
      <w:r>
        <w:t>[</w:t>
      </w:r>
      <w:r>
        <w:t>Example</w:t>
      </w:r>
      <w:r>
        <w:t xml:space="preserve">: The XML that specifies this </w:t>
      </w:r>
      <w:hyperlink r:id="rId8">
        <w:r>
          <w:rPr>
            <w:rStyle w:val="Hyperlink"/>
          </w:rPr>
          <w:t>property</w:t>
        </w:r>
      </w:hyperlink>
      <w:r>
        <w:t xml:space="preserve"> in use is:</w:t>
      </w:r>
    </w:p>
    <w:p w:rsidRDefault="00675CE4" w:rsidP="00675CE4" w:rsidR="00675CE4">
      <w:pPr>
        <w:pStyle w:val="c"/>
      </w:pPr>
      <w:r>
        <w:t>&lt;m:mathPr&gt;</w:t>
      </w:r>
      <w:r>
        <w:br/>
      </w:r>
      <w:r>
        <w:t xml:space="preserve">  &lt;m:mathFont m:val="Cambria </w:t>
      </w:r>
      <w:hyperlink r:id="rId9">
        <w:r>
          <w:rPr>
            <w:rStyle w:val="Hyperlink"/>
          </w:rPr>
          <w:t>Math</w:t>
        </w:r>
      </w:hyperlink>
      <w:r>
        <w:t>"/&gt;</w:t>
      </w:r>
      <w:r>
        <w:br/>
      </w:r>
      <w:r>
        <w:t xml:space="preserve">  &lt;m:brkBin m:val="before"/&gt;</w:t>
      </w:r>
      <w:r>
        <w:br/>
      </w:r>
      <w:r>
        <w:t xml:space="preserve">  &lt;m:brkBinSub m:val="--"/&gt;</w:t>
      </w:r>
      <w:r>
        <w:br/>
      </w:r>
      <w:r>
        <w:t xml:space="preserve">  &lt;m:smallFrac m:val="off"/&gt;</w:t>
      </w:r>
      <w:r>
        <w:br/>
      </w:r>
      <w:r>
        <w:t xml:space="preserve">  &lt;m:dispDef/&gt;</w:t>
      </w:r>
    </w:p>
    <w:p w:rsidRDefault="00675CE4" w:rsidP="00675CE4" w:rsidR="00675CE4">
      <w:pPr>
        <w:pStyle w:val="c"/>
      </w:pPr>
      <w:r>
        <w:t xml:space="preserve">  &lt;m:lMargin m:val="0"/&gt;</w:t>
      </w:r>
      <w:r>
        <w:br/>
      </w:r>
      <w:r>
        <w:t xml:space="preserve">  &lt;m:rMargin m:val="0"/&gt;</w:t>
      </w:r>
      <w:r>
        <w:br/>
      </w:r>
      <w:r>
        <w:t xml:space="preserve">  &lt;m:defJc m:val="centerGroup"/&gt;</w:t>
      </w:r>
      <w:r>
        <w:br/>
      </w:r>
      <w:r>
        <w:t xml:space="preserve">  &lt;m:wrapIndent m:val="1440"/&gt;</w:t>
      </w:r>
      <w:r>
        <w:br/>
      </w:r>
      <w:r>
        <w:t xml:space="preserve">  &lt;m:intLim m:val="subSup"/&gt;</w:t>
      </w:r>
      <w:r>
        <w:br/>
      </w:r>
      <w:r>
        <w:t xml:space="preserve">  &lt;m:naryLim m:val="undOvr"/&gt;</w:t>
      </w:r>
      <w:r>
        <w:br/>
      </w:r>
      <w:r>
        <w:t>&lt;/m:mathPr&gt;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the default location of limits on an integral. Possible values are </w:t>
            </w:r>
            <w:r>
              <w:t>subSup</w:t>
            </w:r>
            <w:r>
              <w:t xml:space="preserve"> and </w:t>
            </w:r>
            <w:r>
              <w:t>undOvr</w:t>
            </w:r>
            <w:r>
              <w:t>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ST_LimLoc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de541f3-5a11-4adb-932d-c8525e658779 \r \h">
              <w:r>
                <w:t>7.1.3.8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name="CT_LimLoc"&gt;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ST_LimLoc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Math.docx" TargetMode="External"/><Relationship Id="rId10" Type="http://schemas.openxmlformats.org/officeDocument/2006/relationships/hyperlink" Target="mathPr.docx" TargetMode="External"/><Relationship Id="rId11" Type="http://schemas.openxmlformats.org/officeDocument/2006/relationships/hyperlink" Target="ST_LimLoc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