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91_1" w:id="100001"/>
      <w:bookmarkStart w:name="book07a67688-e37d-4f91-b0b5-ebf0e47f6fec_1" w:id="100002"/>
      <w:r>
        <w:t>eqArr</w:t>
      </w:r>
      <w:r>
        <w:t xml:space="preserve"> (Equation-Array Function)</w:t>
      </w:r>
      <w:bookmarkEnd w:id="100001"/>
    </w:p>
    <w:bookmarkEnd w:id="100002"/>
    <w:p w:rsidRDefault="00675CE4" w:rsidP="00675CE4" w:rsidR="00675CE4">
      <w:r>
        <w:t>This element specifies the Equation-Array function, an object consisting of one or more equations that can be vertically justified as a unit respect to surrounding text on the line. Alignment of multiple points within each equation can occur within the equation array. [</w:t>
      </w:r>
      <w:r>
        <w:t>Example</w:t>
      </w:r>
      <w:r>
        <w:t xml:space="preserve">: An example of an equation </w:t>
      </w:r>
      <w:hyperlink r:id="rId8">
        <w:r>
          <w:rPr>
            <w:rStyle w:val="Hyperlink"/>
          </w:rPr>
          <w:t>array</w:t>
        </w:r>
      </w:hyperlink>
      <w:r>
        <w:t xml:space="preserve"> with alignment points is:</w:t>
      </w:r>
    </w:p>
    <w:p w:rsidRDefault="00675CE4" w:rsidP="00675CE4" w:rsidR="00675CE4">
      <m:oMathPara>
        <m:oMathParaPr>
          <m:jc m:val="centerGroup"/>
        </m:oMathParaPr>
        <m:oMath>
          <m:eqArr>
            <m:eqArrPr>
              <m:ctrlPr>
                <w:rPr>
                  <w:rFonts w:hAnsi="Cambria Math" w:ascii="Cambria Math"/>
                </w:rPr>
              </m:ctrlPr>
            </m:eqArrPr>
            <m:e>
              <m:r>
                <m:rPr>
                  <m:sty m:val="p"/>
                </m:rPr>
                <w:rPr>
                  <w:rFonts w:hAnsi="Cambria Math" w:ascii="Cambria Math"/>
                </w:rPr>
                <m:t>&amp;</m:t>
              </m:r>
              <m:r>
                <w:rPr>
                  <w:rFonts w:hAnsi="Cambria Math" w:ascii="Cambria Math"/>
                </w:rPr>
                <m:t>x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-</m:t>
              </m:r>
              <m:r>
                <w:rPr>
                  <w:rFonts w:hAnsi="Cambria Math" w:ascii="Cambria Math"/>
                </w:rPr>
                <m:t>&amp;&amp;y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r>
                <w:rPr>
                  <w:rFonts w:hAnsi="Cambria Math" w:ascii="Cambria Math"/>
                </w:rPr>
                <m:t>&amp;&amp;z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&amp;</m:t>
              </m:r>
              <m:r>
                <w:rPr>
                  <w:rFonts w:hAnsi="Cambria Math" w:ascii="Cambria Math"/>
                </w:rPr>
                <m:t>&amp;=&amp;&amp;10</m:t>
              </m:r>
            </m:e>
            <m:e>
              <m:r>
                <m:rPr>
                  <m:sty m:val="p"/>
                </m:rPr>
                <w:rPr>
                  <w:rFonts w:hAnsi="Cambria Math" w:ascii="Cambria Math"/>
                </w:rPr>
                <m:t>3</m:t>
              </m:r>
              <m:r>
                <w:rPr>
                  <w:rFonts w:hAnsi="Cambria Math" w:ascii="Cambria Math"/>
                </w:rPr>
                <m:t>&amp;x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r>
                <w:rPr>
                  <w:rFonts w:hAnsi="Cambria Math" w:ascii="Cambria Math"/>
                </w:rPr>
                <m:t>&amp;&amp;y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r>
                <w:rPr>
                  <w:rFonts w:hAnsi="Cambria Math" w:ascii="Cambria Math"/>
                </w:rPr>
                <m:t>&amp;2&amp;z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&amp;</m:t>
              </m:r>
              <m:r>
                <w:rPr>
                  <w:rFonts w:hAnsi="Cambria Math" w:ascii="Cambria Math"/>
                </w:rPr>
                <m:t>&amp;=&amp;&amp;34</m:t>
              </m:r>
            </m:e>
            <m:e>
              <m:r>
                <m:rPr>
                  <m:sty m:val="p"/>
                </m:rPr>
                <w:rPr>
                  <w:rFonts w:hAnsi="Cambria Math" w:ascii="Cambria Math"/>
                </w:rPr>
                <m:t>-5</m:t>
              </m:r>
              <m:r>
                <w:rPr>
                  <w:rFonts w:hAnsi="Cambria Math" w:ascii="Cambria Math"/>
                </w:rPr>
                <m:t>&amp;x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+</m:t>
              </m:r>
              <m:r>
                <w:rPr>
                  <w:rFonts w:hAnsi="Cambria Math" w:ascii="Cambria Math"/>
                </w:rPr>
                <m:t>&amp;2&amp;y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-</m:t>
              </m:r>
              <m:r>
                <w:rPr>
                  <w:rFonts w:hAnsi="Cambria Math" w:ascii="Cambria Math"/>
                </w:rPr>
                <m:t>&amp;&amp;z</m:t>
              </m:r>
              <m:r>
                <m:rPr>
                  <m:sty m:val="p"/>
                </m:rPr>
                <w:rPr>
                  <w:rFonts w:hAnsi="Cambria Math" w:ascii="Cambria Math"/>
                </w:rPr>
                <m:t>&amp;</m:t>
              </m:r>
              <m:r>
                <w:rPr>
                  <w:rFonts w:hAnsi="Cambria Math" w:ascii="Cambria Math"/>
                </w:rPr>
                <m:t>&amp;=-&amp;&amp;14</m:t>
              </m:r>
            </m:e>
          </m:eqArr>
        </m:oMath>
      </m:oMathPara>
    </w:p>
    <w:p w:rsidRDefault="00675CE4" w:rsidP="00675CE4" w:rsidR="00675CE4">
      <w:r>
        <w:t>Notice that the variables, operators, and tens digits of the sums line up properly.</w:t>
      </w:r>
    </w:p>
    <w:p w:rsidRDefault="00675CE4" w:rsidP="00675CE4" w:rsidR="00675CE4">
      <w:r>
        <w:t xml:space="preserve">The XML of a simple </w:t>
      </w:r>
      <w:r>
        <w:t>eqArr</w:t>
      </w:r>
      <w:r>
        <w:t xml:space="preserve">  </w:t>
      </w:r>
      <m:oMath>
        <m:eqArr>
          <m:eqArrPr>
            <m:ctrlPr>
              <w:rPr>
                <w:rFonts w:hAnsi="Cambria Math" w:ascii="Cambria Math"/>
              </w:rPr>
            </m:ctrlPr>
          </m:eqArrPr>
          <m:e>
            <m:r>
              <w:rPr>
                <w:rFonts w:hAnsi="Cambria Math" w:ascii="Cambria Math"/>
              </w:rPr>
              <m:t>a</m:t>
            </m:r>
            <m:r>
              <m:rPr>
                <m:sty m:val="p"/>
              </m:rPr>
              <w:rPr>
                <w:rFonts w:hAnsi="Cambria Math" w:ascii="Cambria Math"/>
              </w:rPr>
              <m:t>=</m:t>
            </m:r>
            <m:r>
              <w:rPr>
                <w:rFonts w:hAnsi="Cambria Math" w:ascii="Cambria Math"/>
              </w:rPr>
              <m:t>b</m:t>
            </m:r>
            <m:r>
              <m:rPr>
                <m:sty m:val="p"/>
              </m:rPr>
              <w:rPr>
                <w:rFonts w:hAnsi="Cambria Math" w:ascii="Cambria Math"/>
              </w:rPr>
              <m:t>+</m:t>
            </m:r>
            <m:r>
              <w:rPr>
                <w:rFonts w:hAnsi="Cambria Math" w:ascii="Cambria Math"/>
              </w:rPr>
              <m:t>c</m:t>
            </m:r>
          </m:e>
          <m:e>
            <m:r>
              <w:rPr>
                <w:rFonts w:hAnsi="Cambria Math" w:ascii="Cambria Math"/>
              </w:rPr>
              <m:t>d</m:t>
            </m:r>
            <m:r>
              <m:rPr>
                <m:sty m:val="p"/>
              </m:rPr>
              <w:rPr>
                <w:rFonts w:hAnsi="Cambria Math" w:ascii="Cambria Math"/>
              </w:rPr>
              <m:t>+</m:t>
            </m:r>
            <m:r>
              <w:rPr>
                <w:rFonts w:hAnsi="Cambria Math" w:ascii="Cambria Math"/>
              </w:rPr>
              <m:t>e</m:t>
            </m:r>
            <m:r>
              <m:rPr>
                <m:sty m:val="p"/>
              </m:rPr>
              <w:rPr>
                <w:rFonts w:hAnsi="Cambria Math" w:ascii="Cambria Math"/>
              </w:rPr>
              <m:t>=</m:t>
            </m:r>
            <m:r>
              <w:rPr>
                <w:rFonts w:hAnsi="Cambria Math" w:ascii="Cambria Math"/>
              </w:rPr>
              <m:t>f</m:t>
            </m:r>
          </m:e>
        </m:eqArr>
      </m:oMath>
      <w:r>
        <w:t xml:space="preserve"> is:</w:t>
      </w:r>
    </w:p>
    <w:p w:rsidRDefault="00675CE4" w:rsidP="00675CE4" w:rsidR="00675CE4">
      <w:pPr>
        <w:pStyle w:val="c"/>
        <w:rPr>
          <w:lang w:val="fr-CA"/>
        </w:rPr>
      </w:pPr>
      <w:r>
        <w:t>&lt;m:eqArr&gt;</w:t>
      </w:r>
      <w:r>
        <w:br/>
      </w: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&lt;m:t&gt;a=b+c&lt;/m:t&gt;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&lt;m:t&gt;d+e=f&lt;/m:t&gt;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&lt;/m:eqArr&gt;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eqArrPr</w:t>
              </w:r>
            </w:hyperlink>
            <w:r>
              <w:t/>
            </w:r>
            <w:r>
              <w:t xml:space="preserve"> (Equation Array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46a2f31c-ec7d-4394-8f85-7d9fb3e76ea2 \r \h">
              <w:r>
                <w:t>7.1.2.35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name="CT_EqArr"&gt;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8">
        <w:r>
          <w:rPr>
            <w:rStyle w:val="Hyperlink"/>
          </w:rPr>
          <w:t>eqArrPr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="CT_EqArrPr"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e</w:t>
        </w:r>
      </w:hyperlink>
      <w:r>
        <w:t xml:space="preserve">" </w:t>
      </w:r>
      <w:hyperlink r:id="rId19">
        <w:r>
          <w:rPr>
            <w:rStyle w:val="Hyperlink"/>
          </w:rPr>
          <w:t>type</w:t>
        </w:r>
      </w:hyperlink>
      <w:r>
        <w:t>="CT_OMathArg" maxOccurs="unbounded"/&gt;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rray.docx" TargetMode="External"/><Relationship Id="rId9" Type="http://schemas.openxmlformats.org/officeDocument/2006/relationships/hyperlink" Target="deg.docx" TargetMode="External"/><Relationship Id="rId10" Type="http://schemas.openxmlformats.org/officeDocument/2006/relationships/hyperlink" Target="den.docx" TargetMode="External"/><Relationship Id="rId11" Type="http://schemas.openxmlformats.org/officeDocument/2006/relationships/hyperlink" Target="e.docx" TargetMode="External"/><Relationship Id="rId12" Type="http://schemas.openxmlformats.org/officeDocument/2006/relationships/hyperlink" Target="fName.docx" TargetMode="External"/><Relationship Id="rId13" Type="http://schemas.openxmlformats.org/officeDocument/2006/relationships/hyperlink" Target="lim.docx" TargetMode="External"/><Relationship Id="rId14" Type="http://schemas.openxmlformats.org/officeDocument/2006/relationships/hyperlink" Target="num.docx" TargetMode="External"/><Relationship Id="rId15" Type="http://schemas.openxmlformats.org/officeDocument/2006/relationships/hyperlink" Target="oMath.docx" TargetMode="External"/><Relationship Id="rId16" Type="http://schemas.openxmlformats.org/officeDocument/2006/relationships/hyperlink" Target="sub.docx" TargetMode="External"/><Relationship Id="rId17" Type="http://schemas.openxmlformats.org/officeDocument/2006/relationships/hyperlink" Target="sup.docx" TargetMode="External"/><Relationship Id="rId18" Type="http://schemas.openxmlformats.org/officeDocument/2006/relationships/hyperlink" Target="eqArrPr.docx" TargetMode="External"/><Relationship Id="rId19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