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8972_1" w:id="100001"/>
      <w:bookmarkStart w:name="book2c2bed3b-6490-48cb-94a3-910f7b81f3e9_1" w:id="100002"/>
      <w:r>
        <w:t>brk</w:t>
      </w:r>
      <w:r>
        <w:t xml:space="preserve"> (Break)</w:t>
      </w:r>
      <w:bookmarkEnd w:id="100001"/>
    </w:p>
    <w:bookmarkEnd w:id="100002"/>
    <w:p w:rsidRDefault="00675CE4" w:rsidP="00675CE4" w:rsidR="00675CE4">
      <w:r>
        <w:t>This element specifies whether there is a line break at the start of a run, or at the start of the Box function, such that the line wraps at the start of the run or function. If this element is omitted, a manual break is not inserted. The line may happen to wrap at this point if the equation exceeds the column width. [</w:t>
      </w:r>
      <w:r>
        <w:t>Example</w:t>
      </w:r>
      <w:r>
        <w:t>:The following example includes a manual line break at the operator emulator:</w:t>
      </w:r>
    </w:p>
    <w:p w:rsidRDefault="00675CE4" w:rsidP="00675CE4" w:rsidR="00675CE4">
      <m:oMathPara>
        <m:oMathParaPr>
          <m:jc m:val="centerGroup"/>
        </m:oMathParaPr>
        <m:oMath>
          <m:r>
            <w:rPr>
              <w:rFonts w:hAnsi="Cambria Math" w:ascii="Cambria Math"/>
            </w:rPr>
            <m:t>a</m:t>
          </m:r>
          <m:box>
            <m:boxPr>
              <m:opEmu m:val="1"/>
              <m:brk/>
              <m:ctrlPr>
                <w:rPr>
                  <w:rFonts w:hAnsi="Cambria Math" w:ascii="Cambria Math"/>
                </w:rPr>
              </m:ctrlPr>
            </m:boxPr>
            <m:e>
              <m:r>
                <m:rPr>
                  <m:sty m:val="p"/>
                </m:rPr>
                <w:rPr>
                  <w:rFonts w:hAnsi="Cambria Math" w:ascii="Cambria Math"/>
                </w:rPr>
                <m:t>==</m:t>
              </m:r>
            </m:e>
          </m:box>
          <m:r>
            <w:rPr>
              <w:rFonts w:hAnsi="Cambria Math" w:ascii="Cambria Math"/>
            </w:rPr>
            <m:t>b</m:t>
          </m:r>
        </m:oMath>
      </m:oMathPara>
    </w:p>
    <w:p w:rsidRDefault="00675CE4" w:rsidP="00675CE4" w:rsidR="00675CE4">
      <w:pPr>
        <w:pStyle w:val="c"/>
        <w:rPr>
          <w:lang w:val="fr-CA"/>
        </w:rPr>
      </w:pPr>
      <w:r>
        <w:t xml:space="preserve">&lt;m:r&gt; </w:t>
      </w:r>
      <w:r>
        <w:br/>
      </w:r>
      <w:r>
        <w:t xml:space="preserve">  &lt;m:t&gt;a&lt;/m:t&gt;</w:t>
      </w:r>
      <w:r>
        <w:br/>
      </w:r>
      <w:r>
        <w:t>&lt;/m:r&gt;</w:t>
      </w:r>
    </w:p>
    <w:p w:rsidRDefault="00675CE4" w:rsidP="00675CE4" w:rsidR="00675CE4">
      <w:pPr>
        <w:pStyle w:val="c"/>
        <w:rPr>
          <w:lang w:val="fr-CA"/>
        </w:rPr>
      </w:pPr>
      <w:r>
        <w:t>&lt;m:box&gt;</w:t>
      </w:r>
      <w:r>
        <w:br/>
      </w:r>
      <w:r>
        <w:t xml:space="preserve">  &lt;m:boxPr&gt;</w:t>
      </w:r>
      <w:r>
        <w:br/>
      </w:r>
      <w:r>
        <w:t xml:space="preserve">    &lt;m:opEmu</w:t>
      </w:r>
      <w:r>
        <w:tab/>
      </w:r>
      <w:r>
        <w:t>m:val="on"/&gt;</w:t>
      </w:r>
      <w:r>
        <w:br/>
      </w:r>
      <w:r>
        <w:t xml:space="preserve">    &lt;m:brk/&gt;</w:t>
      </w:r>
      <w:r>
        <w:br/>
      </w:r>
      <w:r>
        <w:t xml:space="preserve">  &lt;/m:boxPr&gt;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&lt;m:t&gt;==&lt;/m:t&gt;</w:t>
      </w:r>
      <w:r>
        <w:br/>
      </w:r>
      <w:r>
        <w:t xml:space="preserve">    &lt;/m:r&gt;</w:t>
      </w:r>
      <w:r>
        <w:br/>
      </w:r>
      <w:r>
        <w:t xml:space="preserve">  &lt;/m:e&gt;</w:t>
      </w:r>
      <w:r>
        <w:br/>
      </w:r>
      <w:r>
        <w:t>&lt;/m:box&gt;</w:t>
      </w:r>
    </w:p>
    <w:p w:rsidRDefault="00675CE4" w:rsidP="00675CE4" w:rsidR="00675CE4">
      <w:pPr>
        <w:pStyle w:val="c"/>
      </w:pPr>
      <w:r>
        <w:t>&lt;m:r&gt;</w:t>
      </w:r>
      <w:r>
        <w:br/>
      </w:r>
      <w:r>
        <w:t xml:space="preserve">  &lt;m:t&gt;b&lt;/m:t&gt;</w:t>
      </w:r>
      <w:r>
        <w:br/>
      </w:r>
      <w:r>
        <w:t>&lt;/m:r&gt;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boxPr</w:t>
              </w:r>
            </w:hyperlink>
            <w:r>
              <w:t/>
            </w:r>
            <w:r>
              <w:t xml:space="preserve"> (§</w:t>
            </w:r>
            <w:fldSimple w:instr="REF book098a7ea9-03ba-4775-b6cd-219f3495000b \r \h">
              <w:r>
                <w:t>7.1.2.14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rPr</w:t>
              </w:r>
            </w:hyperlink>
            <w:r>
              <w:t/>
            </w:r>
            <w:r>
              <w:t xml:space="preserve"> (§</w:t>
            </w:r>
            <w:fldSimple w:instr="REF book792b8dcf-4650-41bc-b84b-f92036756d41 \r \h">
              <w:r>
                <w:t>7.1.2.91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alnAt</w:t>
            </w:r>
            <w:r>
              <w:t xml:space="preserve"> (Index of Operator to Align To)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index of the operator on the previous line which shall be used as the alignment point for the current line. A line can be aligned to any operator on the previous line in the equation; this attribute specifies exactly which operator shall be the target of that alignment in cases where there are multiple operators.</w:t>
            </w:r>
          </w:p>
          <w:p w:rsidRDefault="00675CE4" w:rsidP="002E5918" w:rsidR="00675CE4"/>
          <w:p w:rsidRDefault="00675CE4" w:rsidP="002E5918" w:rsidR="00675CE4">
            <w:r>
              <w:t>[</w:t>
            </w:r>
            <w:r>
              <w:t>Example</w:t>
            </w:r>
            <w:r>
              <w:t>: For example, consider the break in this equation:</w:t>
            </w:r>
          </w:p>
          <w:p w:rsidRDefault="00675CE4" w:rsidP="002E5918" w:rsidR="00675CE4">
            <w:r>
              <w:t xml:space="preserve"> </w:t>
            </w:r>
            <w:r>
              <w:br/>
            </w:r>
            <m:oMathPara>
              <m:oMathParaPr>
                <m:jc m:val="centerGroup"/>
              </m:oMathParaPr>
              <m:oMath>
                <m:r>
                  <w:rPr>
                    <w:rFonts w:eastAsiaTheme="minorEastAsia" w:hAnsi="Cambria Math" w:ascii="Cambria Math"/>
                  </w:rPr>
                  <m:t>a</m:t>
                </m:r>
                <m:r>
                  <m:rPr>
                    <m:sty m:val="p"/>
                  </m:rPr>
                  <w:rPr>
                    <w:rFonts w:eastAsiaTheme="minorEastAsia" w:hAnsi="Cambria Math" w:ascii="Cambria Math"/>
                  </w:rPr>
                  <m:t>+</m:t>
                </m:r>
                <m:r>
                  <w:rPr>
                    <w:rFonts w:eastAsiaTheme="minorEastAsia" w:hAnsi="Cambria Math" w:ascii="Cambria Math"/>
                  </w:rPr>
                  <m:t>b</m:t>
                </m:r>
                <m:r>
                  <m:rPr>
                    <m:sty m:val="p"/>
                  </m:rPr>
                  <w:rPr>
                    <w:rFonts w:eastAsiaTheme="minorEastAsia" w:hAnsi="Cambria Math" w:ascii="Cambria Math"/>
                  </w:rPr>
                  <m:t>+</m:t>
                </m:r>
                <m:r>
                  <w:rPr>
                    <w:rFonts w:eastAsiaTheme="minorEastAsia" w:hAnsi="Cambria Math" w:ascii="Cambria Math"/>
                  </w:rPr>
                  <m:t>c</m:t>
                </m:r>
                <m:r>
                  <m:rPr>
                    <m:sty m:val="p"/>
                  </m:rPr>
                  <w:rPr>
                    <w:rFonts w:eastAsiaTheme="minorEastAsia" w:hAnsi="Cambria Math" w:ascii="Cambria Math"/>
                  </w:rPr>
                  <m:t>+</m:t>
                </m:r>
                <m:r>
                  <w:rPr>
                    <w:rFonts w:eastAsiaTheme="minorEastAsia" w:hAnsi="Cambria Math" w:ascii="Cambria Math"/>
                  </w:rPr>
                  <m:t>d</m:t>
                </m:r>
                <m:r>
                  <m:rPr>
                    <m:sty m:val="p"/>
                  </m:rPr>
                  <w:rPr>
                    <w:rFonts w:eastAsiaTheme="minorEastAsia" w:hAnsi="Cambria Math" w:ascii="Cambria Math"/>
                  </w:rPr>
                  <m:t>+</m:t>
                </m:r>
                <m:r>
                  <w:rPr>
                    <w:rFonts w:eastAsiaTheme="minorEastAsia" w:hAnsi="Cambria Math" w:ascii="Cambria Math"/>
                  </w:rPr>
                  <m:t>e</m:t>
                </m:r>
                <m:r>
                  <m:rPr>
                    <m:sty m:val="p"/>
                    <m:brk m:alnAt="3"/>
                  </m:rPr>
                  <w:rPr>
                    <w:rFonts w:eastAsiaTheme="minorEastAsia" w:hAnsi="Cambria Math" w:ascii="Cambria Math"/>
                  </w:rPr>
                  <m:t>+</m:t>
                </m:r>
                <m:r>
                  <w:rPr>
                    <w:rFonts w:eastAsiaTheme="minorEastAsia" w:hAnsi="Cambria Math" w:ascii="Cambria Math"/>
                  </w:rPr>
                  <m:t>f</m:t>
                </m:r>
                <m:r>
                  <m:rPr>
                    <m:sty m:val="p"/>
                  </m:rPr>
                  <w:rPr>
                    <w:rFonts w:eastAsiaTheme="minorEastAsia" w:hAnsi="Cambria Math" w:ascii="Cambria Math"/>
                  </w:rPr>
                  <m:t>+</m:t>
                </m:r>
                <m:r>
                  <w:rPr>
                    <w:rFonts w:eastAsiaTheme="minorEastAsia" w:hAnsi="Cambria Math" w:ascii="Cambria Math"/>
                  </w:rPr>
                  <m:t>g</m:t>
                </m:r>
              </m:oMath>
            </m:oMathPara>
          </w:p>
          <w:p w:rsidRDefault="00675CE4" w:rsidP="002E5918" w:rsidR="00675CE4"/>
          <w:p w:rsidRDefault="00675CE4" w:rsidP="002E5918" w:rsidR="00675CE4">
            <w:r>
              <w:t xml:space="preserve">The second line could theoretically be aligned to any of the four operators in the previous line. </w:t>
            </w:r>
          </w:p>
          <w:p w:rsidRDefault="00675CE4" w:rsidP="002E5918" w:rsidR="00675CE4"/>
          <w:p w:rsidRDefault="00675CE4" w:rsidP="002E5918" w:rsidR="00675CE4">
            <w:r>
              <w:t xml:space="preserve">Specifying an </w:t>
            </w:r>
            <w:r>
              <w:t>alnAt</w:t>
            </w:r>
            <w:r>
              <w:t xml:space="preserve"> value of 3 for the second line resolves this ambiguity; the second line is aligned to the third operator in the previous line. </w:t>
            </w:r>
            <w:r>
              <w:t>end example</w:t>
            </w:r>
            <w:r>
              <w:t>]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ST_Integer255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478c696f-ee4a-498c-bb6e-bc8738c824d4 \r \h">
              <w:r>
                <w:t>7.1.3.6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name="CT_ManualBreak"&gt;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name="alnAt"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ST_Integer255</w:t>
        </w:r>
      </w:hyperlink>
      <w:r>
        <w:t>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boxPr.docx" TargetMode="External"/><Relationship Id="rId9" Type="http://schemas.openxmlformats.org/officeDocument/2006/relationships/hyperlink" Target="rPr.docx" TargetMode="External"/><Relationship Id="rId10" Type="http://schemas.openxmlformats.org/officeDocument/2006/relationships/hyperlink" Target="ST_Integer255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